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842BF" w:rsidR="002303C8" w:rsidP="001842BF" w:rsidRDefault="00110A63" w14:paraId="1EF15EEB" w14:textId="77777777">
      <w:pPr>
        <w:rPr>
          <w:sz w:val="36"/>
        </w:rPr>
      </w:pPr>
      <w:r>
        <w:rPr>
          <w:noProof/>
          <w:sz w:val="24"/>
          <w:szCs w:val="24"/>
        </w:rPr>
        <w:drawing>
          <wp:inline distT="0" distB="0" distL="0" distR="0" wp14:anchorId="565AC988" wp14:editId="3661D122">
            <wp:extent cx="6583680" cy="37033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583680" cy="3703320"/>
                    </a:xfrm>
                    <a:prstGeom prst="rect">
                      <a:avLst/>
                    </a:prstGeom>
                    <a:noFill/>
                    <a:ln>
                      <a:noFill/>
                    </a:ln>
                  </pic:spPr>
                </pic:pic>
              </a:graphicData>
            </a:graphic>
          </wp:inline>
        </w:drawing>
      </w:r>
    </w:p>
    <w:p w:rsidR="00C92FFD" w:rsidP="00AE2C6D" w:rsidRDefault="00C92FFD" w14:paraId="52571543" w14:textId="77777777">
      <w:pPr>
        <w:jc w:val="center"/>
        <w:rPr>
          <w:rFonts w:asciiTheme="majorHAnsi" w:hAnsiTheme="majorHAnsi" w:eastAsiaTheme="majorEastAsia" w:cstheme="majorBidi"/>
          <w:b/>
          <w:color w:val="1B587C" w:themeColor="accent1"/>
          <w:sz w:val="36"/>
          <w:szCs w:val="32"/>
        </w:rPr>
      </w:pPr>
      <w:r w:rsidRPr="7CA5013D" w:rsidR="00C92FFD">
        <w:rPr>
          <w:rFonts w:ascii="Segoe UI" w:hAnsi="Segoe UI" w:eastAsia="" w:cs="" w:asciiTheme="majorAscii" w:hAnsiTheme="majorAscii" w:eastAsiaTheme="majorEastAsia" w:cstheme="majorBidi"/>
          <w:b w:val="1"/>
          <w:bCs w:val="1"/>
          <w:color w:val="1B587C" w:themeColor="accent1" w:themeTint="FF" w:themeShade="FF"/>
          <w:sz w:val="36"/>
          <w:szCs w:val="36"/>
        </w:rPr>
        <w:t>Harnessing the Sun: The Middle East’s Shift to Solar Power and Storage</w:t>
      </w:r>
    </w:p>
    <w:p w:rsidR="395EBE53" w:rsidP="7CA5013D" w:rsidRDefault="395EBE53" w14:paraId="5A3A1E78" w14:textId="334A9CC1">
      <w:pPr>
        <w:jc w:val="center"/>
        <w:rPr>
          <w:rFonts w:ascii="Segoe UI" w:hAnsi="Segoe UI" w:eastAsia="Segoe UI" w:cs="Segoe UI"/>
          <w:noProof w:val="0"/>
          <w:sz w:val="24"/>
          <w:szCs w:val="24"/>
          <w:lang w:val="en-US"/>
        </w:rPr>
      </w:pPr>
      <w:r w:rsidRPr="7CA5013D" w:rsidR="395EBE53">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By </w:t>
      </w:r>
      <w:r w:rsidRPr="7CA5013D" w:rsidR="395EBE53">
        <w:rPr>
          <w:rFonts w:ascii="Segoe UI" w:hAnsi="Segoe UI" w:eastAsia="Segoe UI" w:cs="Segoe UI"/>
          <w:b w:val="0"/>
          <w:bCs w:val="0"/>
          <w:i w:val="1"/>
          <w:iCs w:val="1"/>
          <w:caps w:val="0"/>
          <w:smallCaps w:val="0"/>
          <w:noProof w:val="0"/>
          <w:color w:val="000000" w:themeColor="text1" w:themeTint="FF" w:themeShade="FF"/>
          <w:sz w:val="24"/>
          <w:szCs w:val="24"/>
          <w:lang w:val="en-US"/>
        </w:rPr>
        <w:t>Chief Product Officer,</w:t>
      </w:r>
      <w:r w:rsidRPr="7CA5013D" w:rsidR="395EBE53">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 Saqib Saeed</w:t>
      </w:r>
      <w:r w:rsidRPr="7CA5013D" w:rsidR="395EBE53">
        <w:rPr>
          <w:rFonts w:ascii="Segoe UI" w:hAnsi="Segoe UI" w:eastAsia="Segoe UI" w:cs="Segoe UI"/>
          <w:b w:val="0"/>
          <w:bCs w:val="0"/>
          <w:i w:val="1"/>
          <w:iCs w:val="1"/>
          <w:caps w:val="0"/>
          <w:smallCaps w:val="0"/>
          <w:noProof w:val="0"/>
          <w:color w:val="000000" w:themeColor="text1" w:themeTint="FF" w:themeShade="FF"/>
          <w:sz w:val="24"/>
          <w:szCs w:val="24"/>
          <w:lang w:val="en-US"/>
        </w:rPr>
        <w:t xml:space="preserve"> </w:t>
      </w:r>
      <w:r w:rsidRPr="7CA5013D" w:rsidR="395EBE53">
        <w:rPr>
          <w:rFonts w:ascii="Segoe UI" w:hAnsi="Segoe UI" w:eastAsia="Segoe UI" w:cs="Segoe UI"/>
          <w:b w:val="0"/>
          <w:bCs w:val="0"/>
          <w:i w:val="0"/>
          <w:iCs w:val="0"/>
          <w:caps w:val="0"/>
          <w:smallCaps w:val="0"/>
          <w:noProof w:val="0"/>
          <w:color w:val="000000" w:themeColor="text1" w:themeTint="FF" w:themeShade="FF"/>
          <w:sz w:val="24"/>
          <w:szCs w:val="24"/>
          <w:lang w:val="en-US"/>
        </w:rPr>
        <w:t>and </w:t>
      </w:r>
      <w:r w:rsidRPr="7CA5013D" w:rsidR="395EBE53">
        <w:rPr>
          <w:rFonts w:ascii="Segoe UI" w:hAnsi="Segoe UI" w:eastAsia="Segoe UI" w:cs="Segoe UI"/>
          <w:b w:val="0"/>
          <w:bCs w:val="0"/>
          <w:i w:val="1"/>
          <w:iCs w:val="1"/>
          <w:caps w:val="0"/>
          <w:smallCaps w:val="0"/>
          <w:noProof w:val="0"/>
          <w:color w:val="000000" w:themeColor="text1" w:themeTint="FF" w:themeShade="FF"/>
          <w:sz w:val="24"/>
          <w:szCs w:val="24"/>
          <w:lang w:val="en-US"/>
        </w:rPr>
        <w:t>Research Analyst,</w:t>
      </w:r>
      <w:r w:rsidRPr="7CA5013D" w:rsidR="395EBE53">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 Siddiqa Batool</w:t>
      </w:r>
      <w:r w:rsidRPr="7CA5013D" w:rsidR="395EBE53">
        <w:rPr>
          <w:rFonts w:ascii="Segoe UI" w:hAnsi="Segoe UI" w:eastAsia="Segoe UI" w:cs="Segoe UI"/>
          <w:b w:val="0"/>
          <w:bCs w:val="0"/>
          <w:i w:val="1"/>
          <w:iCs w:val="1"/>
          <w:caps w:val="0"/>
          <w:smallCaps w:val="0"/>
          <w:noProof w:val="0"/>
          <w:color w:val="000000" w:themeColor="text1" w:themeTint="FF" w:themeShade="FF"/>
          <w:sz w:val="24"/>
          <w:szCs w:val="24"/>
          <w:lang w:val="en-US"/>
        </w:rPr>
        <w:t>– at PTR Inc.</w:t>
      </w:r>
    </w:p>
    <w:p w:rsidRPr="004767F7" w:rsidR="00944D0D" w:rsidP="001B2E02" w:rsidRDefault="004767F7" w14:paraId="5CEF9DF1" w14:textId="54DF66D1">
      <w:pPr>
        <w:pStyle w:val="ListParagraph"/>
        <w:numPr>
          <w:ilvl w:val="0"/>
          <w:numId w:val="21"/>
        </w:numPr>
        <w:rPr>
          <w:rFonts w:cstheme="minorHAnsi"/>
        </w:rPr>
      </w:pPr>
      <w:r w:rsidRPr="004767F7">
        <w:rPr>
          <w:rFonts w:cstheme="minorHAnsi"/>
        </w:rPr>
        <w:t>The Middle East is increasingly investing in renewable energy to reduce dependence on fossil fuels, with countries like Saudi Arabia, the UAE, and Qatar setting ambitious targets for solar and wind power, supported by large-scale energy storage initiatives.</w:t>
      </w:r>
    </w:p>
    <w:p w:rsidRPr="004767F7" w:rsidR="001B2E02" w:rsidP="7CA5013D" w:rsidRDefault="004767F7" w14:paraId="43576BDB" w14:textId="331FD665" w14:noSpellErr="1">
      <w:pPr>
        <w:pStyle w:val="ListParagraph"/>
        <w:numPr>
          <w:ilvl w:val="0"/>
          <w:numId w:val="21"/>
        </w:numPr>
        <w:rPr>
          <w:rFonts w:cs="Segoe UI" w:cstheme="minorAscii"/>
        </w:rPr>
      </w:pPr>
      <w:r w:rsidRPr="7CA5013D" w:rsidR="004767F7">
        <w:rPr>
          <w:rFonts w:cs="Segoe UI" w:cstheme="minorAscii"/>
        </w:rPr>
        <w:t xml:space="preserve">Energy storage is a critical </w:t>
      </w:r>
      <w:r w:rsidRPr="7CA5013D" w:rsidR="004767F7">
        <w:rPr>
          <w:rFonts w:cs="Segoe UI" w:cstheme="minorAscii"/>
        </w:rPr>
        <w:t>component</w:t>
      </w:r>
      <w:r w:rsidRPr="7CA5013D" w:rsidR="004767F7">
        <w:rPr>
          <w:rFonts w:cs="Segoe UI" w:cstheme="minorAscii"/>
        </w:rPr>
        <w:t xml:space="preserve"> of the transition, addressing the </w:t>
      </w:r>
      <w:bookmarkStart w:name="_Int_Z8Kl6sbA" w:id="660729404"/>
      <w:r w:rsidRPr="7CA5013D" w:rsidR="004767F7">
        <w:rPr>
          <w:rFonts w:cs="Segoe UI" w:cstheme="minorAscii"/>
        </w:rPr>
        <w:t>intermittency</w:t>
      </w:r>
      <w:bookmarkEnd w:id="660729404"/>
      <w:r w:rsidRPr="7CA5013D" w:rsidR="004767F7">
        <w:rPr>
          <w:rFonts w:cs="Segoe UI" w:cstheme="minorAscii"/>
        </w:rPr>
        <w:t xml:space="preserve"> of solar and wind power. Battery Energy Storage Systems (BESS) are </w:t>
      </w:r>
      <w:r w:rsidRPr="7CA5013D" w:rsidR="004767F7">
        <w:rPr>
          <w:rFonts w:cs="Segoe UI" w:cstheme="minorAscii"/>
        </w:rPr>
        <w:t>emerging</w:t>
      </w:r>
      <w:r w:rsidRPr="7CA5013D" w:rsidR="004767F7">
        <w:rPr>
          <w:rFonts w:cs="Segoe UI" w:cstheme="minorAscii"/>
        </w:rPr>
        <w:t xml:space="preserve"> as a preferred solution over traditional methods like pumped hydro storage due to their scalability and flexibility.</w:t>
      </w:r>
    </w:p>
    <w:p w:rsidRPr="004767F7" w:rsidR="001B2E02" w:rsidP="001B2E02" w:rsidRDefault="004767F7" w14:paraId="7EA9B4A2" w14:textId="207BCC60">
      <w:pPr>
        <w:pStyle w:val="ListParagraph"/>
        <w:numPr>
          <w:ilvl w:val="0"/>
          <w:numId w:val="21"/>
        </w:numPr>
        <w:rPr>
          <w:rFonts w:cstheme="minorHAnsi"/>
        </w:rPr>
      </w:pPr>
      <w:r w:rsidRPr="004767F7">
        <w:rPr>
          <w:rFonts w:cstheme="minorHAnsi"/>
        </w:rPr>
        <w:t>Challenges remain in scaling renewable energy, including grid stability issues, extreme climate conditions affecting battery performance, and the need for regulatory and policy support. However, continued investment and technological advancements position the region as a potential global leader in clean energy innovation.</w:t>
      </w:r>
    </w:p>
    <w:p w:rsidRPr="004767F7" w:rsidR="004767F7" w:rsidP="004767F7" w:rsidRDefault="004767F7" w14:paraId="399CB24D" w14:textId="77777777">
      <w:pPr>
        <w:rPr>
          <w:rFonts w:cstheme="minorHAnsi"/>
        </w:rPr>
      </w:pPr>
      <w:r w:rsidRPr="004767F7">
        <w:rPr>
          <w:rFonts w:cstheme="minorHAnsi"/>
        </w:rPr>
        <w:t>The global shift from fossil fuels to renewable energy is crucial in combating climate change, yet fossil fuels still supply 80% of the world’s energy needs. Ensuring this transition is just—rooted in equity, inclusion, and sustainable development—is vital for delivering broad-based benefits. Progress hinges on scaling renewable energy and storage, decarbonizing high-emission sectors, improving energy efficiency, and implementing supportive policies alongside innovative financing mechanisms.</w:t>
      </w:r>
    </w:p>
    <w:p w:rsidRPr="004767F7" w:rsidR="004767F7" w:rsidP="004767F7" w:rsidRDefault="004767F7" w14:paraId="4B711587" w14:textId="77777777">
      <w:pPr>
        <w:rPr>
          <w:rFonts w:cstheme="minorHAnsi"/>
        </w:rPr>
      </w:pPr>
      <w:r w:rsidRPr="004767F7">
        <w:rPr>
          <w:rFonts w:cstheme="minorHAnsi"/>
        </w:rPr>
        <w:t xml:space="preserve">The Middle East, historically a key supplier of fossil fuels, is now positioned to play a pivotal role in advancing the energy transition. Gulf Cooperation Council (GCC) countries are actively diversifying their </w:t>
      </w:r>
      <w:r w:rsidRPr="004767F7">
        <w:rPr>
          <w:rFonts w:cstheme="minorHAnsi"/>
        </w:rPr>
        <w:lastRenderedPageBreak/>
        <w:t>economies to reduce dependence on oil and gas. Initiatives such as Saudi Arabia’s Vision 2030 and the UAE’s Energy Strategy 2050 reflect strong commitments to renewable energy adoption and sustainable technologies.</w:t>
      </w:r>
    </w:p>
    <w:p w:rsidRPr="004767F7" w:rsidR="004767F7" w:rsidP="004767F7" w:rsidRDefault="004767F7" w14:paraId="4C53C8EA" w14:textId="77777777">
      <w:pPr>
        <w:pStyle w:val="Heading1"/>
      </w:pPr>
      <w:r w:rsidRPr="004767F7">
        <w:t>Solar Power: A Cornerstone of Transition</w:t>
      </w:r>
    </w:p>
    <w:p w:rsidRPr="004767F7" w:rsidR="004767F7" w:rsidP="004767F7" w:rsidRDefault="004767F7" w14:paraId="454F8FED" w14:textId="77777777">
      <w:pPr>
        <w:rPr>
          <w:rFonts w:cstheme="minorHAnsi"/>
        </w:rPr>
      </w:pPr>
      <w:r w:rsidRPr="004767F7">
        <w:rPr>
          <w:rFonts w:cstheme="minorHAnsi"/>
        </w:rPr>
        <w:t>Solar power is central to this transformation. With abundant sunlight, competitive labor costs, and falling hardware prices, countries like Saudi Arabia have achieved record-low levelized costs of electricity (LCOE) from solar photovoltaics—reaching USD 10.4 per megawatt-hour. Exceptional solar potential—exceeding 2,000 kWh per square meter annually in Saudi Arabia, the UAE, and Oman—positions the region as a potential global leader in solar energy.</w:t>
      </w:r>
    </w:p>
    <w:p w:rsidRPr="004767F7" w:rsidR="004767F7" w:rsidP="004767F7" w:rsidRDefault="004767F7" w14:paraId="1851458D" w14:textId="77777777">
      <w:pPr>
        <w:rPr>
          <w:rFonts w:cstheme="minorHAnsi"/>
        </w:rPr>
      </w:pPr>
      <w:r w:rsidRPr="004767F7">
        <w:rPr>
          <w:rFonts w:cstheme="minorHAnsi"/>
        </w:rPr>
        <w:t>To unlock this potential, energy storage has become increasingly critical. Storage technologies such as batteries enable reliable, round-the-clock power by integrating variable solar energy into the grid. Recognizing this, Middle Eastern nations are investing in both large-scale solar projects and energy storage infrastructure. This dual focus enhances grid stability, strengthens energy security, and supports ambitions to lead in clean energy innovation—contributing meaningfully to global climate goals.</w:t>
      </w:r>
    </w:p>
    <w:p w:rsidRPr="004767F7" w:rsidR="004767F7" w:rsidP="004767F7" w:rsidRDefault="004767F7" w14:paraId="00E5EC85" w14:textId="77777777">
      <w:pPr>
        <w:pStyle w:val="Heading1"/>
      </w:pPr>
      <w:r w:rsidRPr="004767F7">
        <w:t>Current State of Renewable Energy Adoption</w:t>
      </w:r>
    </w:p>
    <w:p w:rsidRPr="004767F7" w:rsidR="004767F7" w:rsidP="004767F7" w:rsidRDefault="004767F7" w14:paraId="0FAF69EF" w14:textId="77777777">
      <w:pPr>
        <w:rPr>
          <w:rFonts w:cstheme="minorHAnsi"/>
        </w:rPr>
      </w:pPr>
      <w:r w:rsidRPr="004767F7">
        <w:rPr>
          <w:rFonts w:cstheme="minorHAnsi"/>
        </w:rPr>
        <w:t>Energy systems in the Middle East remain predominantly reliant on oil and gas, with natural gas accounting for 76% of power generation in 2024 and other fossil fuels contributing 18%. Coal plays a negligible role. Despite vast renewable resources, most countries in the region have yet to make significant strides in clean electricity adoption. Solar and wind collectively represent less than 1% of the energy mix in countries such as Bahrain, Iran, Iraq, Kuwait, Lebanon, Oman, Qatar, and Saudi Arabia.</w:t>
      </w:r>
    </w:p>
    <w:p w:rsidRPr="004767F7" w:rsidR="004767F7" w:rsidP="004767F7" w:rsidRDefault="004767F7" w14:paraId="577FB178" w14:textId="77777777">
      <w:pPr>
        <w:rPr>
          <w:rFonts w:cstheme="minorHAnsi"/>
        </w:rPr>
      </w:pPr>
      <w:r w:rsidRPr="004767F7">
        <w:rPr>
          <w:rFonts w:cstheme="minorHAnsi"/>
        </w:rPr>
        <w:t>Saudi Arabia, however, is embarking on a transformative path to become a major player in the global renewable energy sector. The Kingdom aims to source 50% of its electricity from renewables by 2030—one of the most ambitious renewable scale-ups worldwide, though the roadmap to implementation remains evolving. Jordan stands out in the region, generating 28.2% of its electricity from wind and solar by the third quarter of 2024.</w:t>
      </w:r>
    </w:p>
    <w:p w:rsidRPr="004767F7" w:rsidR="004767F7" w:rsidP="004767F7" w:rsidRDefault="004767F7" w14:paraId="58C81E0C" w14:textId="77777777">
      <w:pPr>
        <w:rPr>
          <w:rFonts w:cstheme="minorHAnsi"/>
        </w:rPr>
      </w:pPr>
      <w:r w:rsidRPr="004767F7">
        <w:rPr>
          <w:rFonts w:cstheme="minorHAnsi"/>
        </w:rPr>
        <w:t>Saudi Arabia’s commitment is embedded in its National Renewable Energy Program, which seeks to diversify the energy portfolio and reduce dependence on fossil fuels. By 2030, the Kingdom aims to generate 58.7 GW of renewable energy capacity, comprising 40 GW from solar PV, 16 GW from wind, and 2.7 GW from concentrated solar power (CSP). Between 2022 and early 2024, Saudi Arabia added 2.1 GW of renewable capacity—a 300% increase from the 700 MW added between 2012 and 2022.</w:t>
      </w:r>
    </w:p>
    <w:p w:rsidRPr="004767F7" w:rsidR="004767F7" w:rsidP="004767F7" w:rsidRDefault="004767F7" w14:paraId="1035A59A" w14:textId="77777777">
      <w:pPr>
        <w:rPr>
          <w:rFonts w:cstheme="minorHAnsi"/>
        </w:rPr>
      </w:pPr>
      <w:r w:rsidRPr="004767F7">
        <w:rPr>
          <w:rFonts w:cstheme="minorHAnsi"/>
        </w:rPr>
        <w:t>The UAE’s updated strategy outlines a phased national program to meet rising energy demand while preserving natural resources. By 2030, the UAE plans to:</w:t>
      </w:r>
    </w:p>
    <w:p w:rsidRPr="004767F7" w:rsidR="004767F7" w:rsidP="004767F7" w:rsidRDefault="004767F7" w14:paraId="751EC65B" w14:textId="77777777">
      <w:pPr>
        <w:numPr>
          <w:ilvl w:val="0"/>
          <w:numId w:val="29"/>
        </w:numPr>
        <w:rPr>
          <w:rFonts w:cstheme="minorHAnsi"/>
        </w:rPr>
      </w:pPr>
      <w:r w:rsidRPr="004767F7">
        <w:rPr>
          <w:rFonts w:cstheme="minorHAnsi"/>
        </w:rPr>
        <w:t>Reduce emissions from the water and energy sectors, targeting net zero by 2050.</w:t>
      </w:r>
    </w:p>
    <w:p w:rsidRPr="004767F7" w:rsidR="004767F7" w:rsidP="004767F7" w:rsidRDefault="004767F7" w14:paraId="38AC80DA" w14:textId="77777777">
      <w:pPr>
        <w:numPr>
          <w:ilvl w:val="0"/>
          <w:numId w:val="29"/>
        </w:numPr>
        <w:rPr>
          <w:rFonts w:cstheme="minorHAnsi"/>
        </w:rPr>
      </w:pPr>
      <w:r w:rsidRPr="004767F7">
        <w:rPr>
          <w:rFonts w:cstheme="minorHAnsi"/>
        </w:rPr>
        <w:t>Eliminate clean coal from its energy mix to align with climate neutrality objectives.</w:t>
      </w:r>
    </w:p>
    <w:p w:rsidRPr="004767F7" w:rsidR="004767F7" w:rsidP="004767F7" w:rsidRDefault="004767F7" w14:paraId="4CD80555" w14:textId="77777777">
      <w:pPr>
        <w:numPr>
          <w:ilvl w:val="0"/>
          <w:numId w:val="29"/>
        </w:numPr>
        <w:rPr>
          <w:rFonts w:cstheme="minorHAnsi"/>
        </w:rPr>
      </w:pPr>
      <w:r w:rsidRPr="004767F7">
        <w:rPr>
          <w:rFonts w:cstheme="minorHAnsi"/>
        </w:rPr>
        <w:t>Improve energy efficiency across sectors by 42–45% compared to 2019.</w:t>
      </w:r>
    </w:p>
    <w:p w:rsidRPr="004767F7" w:rsidR="004767F7" w:rsidP="004767F7" w:rsidRDefault="004767F7" w14:paraId="16517B6D" w14:textId="77777777">
      <w:pPr>
        <w:numPr>
          <w:ilvl w:val="0"/>
          <w:numId w:val="29"/>
        </w:numPr>
        <w:rPr>
          <w:rFonts w:cstheme="minorHAnsi"/>
        </w:rPr>
      </w:pPr>
      <w:r w:rsidRPr="004767F7">
        <w:rPr>
          <w:rFonts w:cstheme="minorHAnsi"/>
        </w:rPr>
        <w:t>Triple the share of renewable energy in the mix.</w:t>
      </w:r>
    </w:p>
    <w:p w:rsidRPr="004767F7" w:rsidR="004767F7" w:rsidP="004767F7" w:rsidRDefault="004767F7" w14:paraId="4EF8CD81" w14:textId="77777777">
      <w:pPr>
        <w:numPr>
          <w:ilvl w:val="0"/>
          <w:numId w:val="29"/>
        </w:numPr>
        <w:rPr>
          <w:rFonts w:cstheme="minorHAnsi"/>
        </w:rPr>
      </w:pPr>
      <w:r w:rsidRPr="004767F7">
        <w:rPr>
          <w:rFonts w:cstheme="minorHAnsi"/>
        </w:rPr>
        <w:t>Increase installed clean energy capacity from 14.2 GW to 19.8 GW.</w:t>
      </w:r>
    </w:p>
    <w:p w:rsidRPr="004767F7" w:rsidR="004767F7" w:rsidP="004767F7" w:rsidRDefault="004767F7" w14:paraId="39F09D96" w14:textId="77777777">
      <w:pPr>
        <w:numPr>
          <w:ilvl w:val="0"/>
          <w:numId w:val="29"/>
        </w:numPr>
        <w:rPr>
          <w:rFonts w:cstheme="minorHAnsi"/>
        </w:rPr>
      </w:pPr>
      <w:r w:rsidRPr="004767F7">
        <w:rPr>
          <w:rFonts w:cstheme="minorHAnsi"/>
        </w:rPr>
        <w:t>Raise clean energy’s share in the total energy mix to 30%.</w:t>
      </w:r>
    </w:p>
    <w:p w:rsidR="004767F7" w:rsidP="004767F7" w:rsidRDefault="004767F7" w14:paraId="5EDA6785" w14:textId="77777777">
      <w:pPr>
        <w:rPr>
          <w:rFonts w:cstheme="minorHAnsi"/>
        </w:rPr>
      </w:pPr>
      <w:r w:rsidRPr="004767F7">
        <w:rPr>
          <w:rFonts w:cstheme="minorHAnsi"/>
        </w:rPr>
        <w:t>Qatar has set a target of deploying 4 GW of utility-scale renewable energy capacity—primarily solar PV—by 2030, aiming to raise renewables’ share in its energy mix from 5% to 18%. This transition will require an estimated USD 7.6 billion investment. Additionally, Qatar aims to achieve 200 MW of distributed renewable energy generation, enabling customers to install solar PV systems for self-consumption and grid export.</w:t>
      </w:r>
    </w:p>
    <w:p w:rsidRPr="00E81E2E" w:rsidR="00E81E2E" w:rsidP="00E81E2E" w:rsidRDefault="00E81E2E" w14:paraId="5B834C19" w14:textId="65DCFDAD">
      <w:pPr>
        <w:jc w:val="center"/>
        <w:rPr>
          <w:rFonts w:cstheme="minorHAnsi"/>
        </w:rPr>
      </w:pPr>
      <w:r>
        <w:rPr>
          <w:rFonts w:cstheme="minorHAnsi"/>
          <w:noProof/>
        </w:rPr>
        <w:drawing>
          <wp:inline distT="0" distB="0" distL="0" distR="0" wp14:anchorId="69FCD3CD" wp14:editId="5AE15D15">
            <wp:extent cx="6699443" cy="3768437"/>
            <wp:effectExtent l="0" t="0" r="0" b="0"/>
            <wp:docPr id="3870477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047753" name="Picture 38704775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797171" cy="3823409"/>
                    </a:xfrm>
                    <a:prstGeom prst="rect">
                      <a:avLst/>
                    </a:prstGeom>
                  </pic:spPr>
                </pic:pic>
              </a:graphicData>
            </a:graphic>
          </wp:inline>
        </w:drawing>
      </w:r>
    </w:p>
    <w:p w:rsidRPr="00BF1DC8" w:rsidR="00C75763" w:rsidP="00E81E2E" w:rsidRDefault="00C75763" w14:paraId="0F44F59F" w14:textId="28E0CCEE">
      <w:pPr>
        <w:jc w:val="center"/>
      </w:pPr>
      <w:r w:rsidRPr="00BF1DC8">
        <w:t>Figure 1: Renewable energy targets set by countries in the Middle East.</w:t>
      </w:r>
    </w:p>
    <w:p w:rsidRPr="00BF1DC8" w:rsidR="00C75763" w:rsidP="00E81E2E" w:rsidRDefault="00C75763" w14:paraId="3C2601EF" w14:textId="426E2655">
      <w:pPr>
        <w:jc w:val="center"/>
      </w:pPr>
      <w:r w:rsidRPr="00BF1DC8">
        <w:t>Source:</w:t>
      </w:r>
      <w:r w:rsidRPr="00BF1DC8" w:rsidR="00BF1DC8">
        <w:t xml:space="preserve"> PTR Inc.</w:t>
      </w:r>
    </w:p>
    <w:p w:rsidRPr="004767F7" w:rsidR="004767F7" w:rsidP="004767F7" w:rsidRDefault="004767F7" w14:paraId="7BC245F6" w14:textId="77777777">
      <w:pPr>
        <w:pStyle w:val="Heading1"/>
      </w:pPr>
      <w:r w:rsidRPr="004767F7">
        <w:t>Challenges in Scaling Renewable Energy</w:t>
      </w:r>
    </w:p>
    <w:p w:rsidRPr="004767F7" w:rsidR="004767F7" w:rsidP="004767F7" w:rsidRDefault="004767F7" w14:paraId="6702D6BE" w14:textId="77777777">
      <w:pPr>
        <w:rPr>
          <w:rFonts w:cstheme="minorHAnsi"/>
        </w:rPr>
      </w:pPr>
      <w:r w:rsidRPr="004767F7">
        <w:rPr>
          <w:rFonts w:cstheme="minorHAnsi"/>
        </w:rPr>
        <w:t>The region benefits from abundant solar resources and vast expanses of uninhabited land ideal for solar and wind development. Over time, the renewable sector could support international energy trade, particularly with Europe seeking to import low-carbon energy from North Africa via Mediterranean pipelines. Green hydrogen and derivatives like green ammonia could also be exported globally.</w:t>
      </w:r>
    </w:p>
    <w:p w:rsidRPr="004767F7" w:rsidR="004767F7" w:rsidP="004767F7" w:rsidRDefault="004767F7" w14:paraId="72F511E9" w14:textId="77777777">
      <w:pPr>
        <w:rPr>
          <w:rFonts w:cstheme="minorHAnsi"/>
        </w:rPr>
      </w:pPr>
      <w:r w:rsidRPr="004767F7">
        <w:rPr>
          <w:rFonts w:cstheme="minorHAnsi"/>
        </w:rPr>
        <w:t>However, scaling up renewables presents challenges, particularly for grid operators. The intermittent nature of solar and wind generation necessitates reliable baseload power to maintain continuous electricity supply. As renewable capacity grows, the need for advanced energy storage solutions becomes critical to balance supply and demand effectively.</w:t>
      </w:r>
    </w:p>
    <w:p w:rsidR="004767F7" w:rsidP="004767F7" w:rsidRDefault="004767F7" w14:paraId="3EBCFE26" w14:textId="77777777">
      <w:pPr>
        <w:rPr>
          <w:rFonts w:cstheme="minorHAnsi"/>
        </w:rPr>
      </w:pPr>
      <w:r w:rsidRPr="004767F7">
        <w:rPr>
          <w:rFonts w:cstheme="minorHAnsi"/>
        </w:rPr>
        <w:t>Traditional storage solutions such as pumped hydro storage (PHS) and CSP have provided foundational support, but limitations in flexibility and scalability are prompting a shift toward battery energy storage systems (BESS). These systems offer quicker deployment, modular design, and adaptability to diverse grid needs.</w:t>
      </w:r>
    </w:p>
    <w:p w:rsidRPr="004767F7" w:rsidR="004767F7" w:rsidP="004767F7" w:rsidRDefault="004767F7" w14:paraId="736EBDDC" w14:textId="77777777">
      <w:pPr>
        <w:pStyle w:val="Heading1"/>
      </w:pPr>
      <w:r w:rsidRPr="004767F7">
        <w:t>Emerging Energy Storage Projects in the Middle East</w:t>
      </w:r>
    </w:p>
    <w:p w:rsidRPr="00C75763" w:rsidR="004767F7" w:rsidP="00C75763" w:rsidRDefault="00C75763" w14:paraId="4B72461C" w14:textId="03619A75">
      <w:pPr>
        <w:rPr>
          <w:rFonts w:cstheme="minorHAnsi"/>
        </w:rPr>
      </w:pPr>
      <w:r>
        <w:rPr>
          <w:rFonts w:cstheme="minorHAnsi"/>
        </w:rPr>
        <w:br/>
      </w:r>
      <w:r w:rsidRPr="004767F7" w:rsidR="004767F7">
        <w:rPr>
          <w:rFonts w:cstheme="minorHAnsi"/>
        </w:rPr>
        <w:t>The Saudi Power Procurement Company (SPPC) is preparing to launch procurement for an initial 2,000 MW phase of a BESS project, aiming for up to 10 GW (40 GWh) of BESS capacity by 2030. These projects aim to support solar integration in the Kingdom.</w:t>
      </w:r>
      <w:r>
        <w:rPr>
          <w:rFonts w:cstheme="minorHAnsi"/>
        </w:rPr>
        <w:t xml:space="preserve"> </w:t>
      </w:r>
      <w:r w:rsidRPr="004767F7" w:rsidR="004767F7">
        <w:rPr>
          <w:rFonts w:cstheme="minorHAnsi"/>
        </w:rPr>
        <w:t>The UAE has announced a USD 6 billion, 5 GW solar plant integrated with a 19 GWh battery storage system, designed to provide 1 GW of continuous power output.</w:t>
      </w:r>
      <w:r w:rsidRPr="00C75763">
        <w:rPr>
          <w:rFonts w:cstheme="minorHAnsi"/>
        </w:rPr>
        <w:t xml:space="preserve"> </w:t>
      </w:r>
      <w:r w:rsidRPr="004767F7" w:rsidR="004767F7">
        <w:rPr>
          <w:rFonts w:cstheme="minorHAnsi"/>
        </w:rPr>
        <w:t>Plans are underway to add BESS to the 500 MW Ibri III Solar Independent Power Project (IPP), along with the 100 MW North Solar Storage PV plant featuring Oman’s first lithium-ion battery system.</w:t>
      </w:r>
    </w:p>
    <w:p w:rsidRPr="00C75763" w:rsidR="00C75763" w:rsidP="000005D1" w:rsidRDefault="000005D1" w14:paraId="467A351A" w14:textId="1376DFAE">
      <w:pPr>
        <w:jc w:val="center"/>
        <w:rPr>
          <w:rFonts w:cstheme="minorHAnsi"/>
        </w:rPr>
      </w:pPr>
      <w:r>
        <w:rPr>
          <w:rFonts w:cstheme="minorHAnsi"/>
          <w:noProof/>
        </w:rPr>
        <w:drawing>
          <wp:inline distT="0" distB="0" distL="0" distR="0" wp14:anchorId="526FD154" wp14:editId="3697C81B">
            <wp:extent cx="6583680" cy="3703320"/>
            <wp:effectExtent l="0" t="0" r="0" b="0"/>
            <wp:docPr id="340841209" name="Picture 4" descr="A screenshot of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841209" name="Picture 4" descr="A screenshot of a black background&#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583680" cy="3703320"/>
                    </a:xfrm>
                    <a:prstGeom prst="rect">
                      <a:avLst/>
                    </a:prstGeom>
                  </pic:spPr>
                </pic:pic>
              </a:graphicData>
            </a:graphic>
          </wp:inline>
        </w:drawing>
      </w:r>
    </w:p>
    <w:p w:rsidRPr="00D200F8" w:rsidR="00C75763" w:rsidP="000005D1" w:rsidRDefault="00C75763" w14:paraId="16E2C4BA" w14:textId="58266D27">
      <w:pPr>
        <w:jc w:val="center"/>
      </w:pPr>
      <w:r w:rsidRPr="00D200F8">
        <w:t xml:space="preserve">Figure </w:t>
      </w:r>
      <w:r w:rsidRPr="00D200F8" w:rsidR="00086601">
        <w:t>2</w:t>
      </w:r>
      <w:r w:rsidRPr="00D200F8">
        <w:t>: Key energy storage projects in the Middle East.</w:t>
      </w:r>
    </w:p>
    <w:p w:rsidRPr="00D200F8" w:rsidR="00C75763" w:rsidP="000005D1" w:rsidRDefault="00C75763" w14:paraId="4D3E6787" w14:textId="6B57AEF5">
      <w:pPr>
        <w:jc w:val="center"/>
      </w:pPr>
      <w:r w:rsidR="00C75763">
        <w:rPr/>
        <w:t>Source:</w:t>
      </w:r>
      <w:r w:rsidR="00D200F8">
        <w:rPr/>
        <w:t xml:space="preserve"> </w:t>
      </w:r>
      <w:r w:rsidR="00D200F8">
        <w:rPr/>
        <w:t>PTR</w:t>
      </w:r>
      <w:r w:rsidR="71960DBA">
        <w:rPr/>
        <w:t xml:space="preserve"> </w:t>
      </w:r>
      <w:r w:rsidR="00D200F8">
        <w:rPr/>
        <w:t>Inc</w:t>
      </w:r>
      <w:r w:rsidR="20C2154D">
        <w:rPr/>
        <w:t>.</w:t>
      </w:r>
    </w:p>
    <w:p w:rsidRPr="004767F7" w:rsidR="004767F7" w:rsidP="004767F7" w:rsidRDefault="004767F7" w14:paraId="79F873A4" w14:textId="30DD43EB">
      <w:pPr>
        <w:pStyle w:val="Heading1"/>
      </w:pPr>
      <w:r w:rsidRPr="004767F7">
        <w:t>Technological Considerations for Energy Storage</w:t>
      </w:r>
    </w:p>
    <w:p w:rsidRPr="004767F7" w:rsidR="004767F7" w:rsidP="004767F7" w:rsidRDefault="004767F7" w14:paraId="4B7941C1" w14:textId="77777777">
      <w:pPr>
        <w:rPr>
          <w:rFonts w:cstheme="minorHAnsi"/>
        </w:rPr>
      </w:pPr>
      <w:r w:rsidRPr="004767F7">
        <w:rPr>
          <w:rFonts w:cstheme="minorHAnsi"/>
        </w:rPr>
        <w:t>Energy storage technology selection in the MENA region depends on several factors, including site conditions, grid requirements, regulatory frameworks, and cost. Technologies such as sodium-sulfur (NaS), lithium-ion (Li-ion), and flow batteries are being deployed for short- to medium-duration storage. However, Li-ion batteries face performance challenges in the region’s extreme heat, which can impair efficiency and lifespan.</w:t>
      </w:r>
    </w:p>
    <w:p w:rsidRPr="004767F7" w:rsidR="004767F7" w:rsidP="004767F7" w:rsidRDefault="004767F7" w14:paraId="05DC679A" w14:textId="77777777">
      <w:pPr>
        <w:rPr>
          <w:rFonts w:cstheme="minorHAnsi"/>
        </w:rPr>
      </w:pPr>
      <w:r w:rsidRPr="7CA5013D" w:rsidR="004767F7">
        <w:rPr>
          <w:rFonts w:cs="Segoe UI" w:cstheme="minorAscii"/>
        </w:rPr>
        <w:t>These conditions are driving interest in alternative technologies, including vanadium redox flow batteries, which offer longer storage durations, lower degradation, and greater temperature tolerance—making them promising solutions for specific applications in the region’s harsh climate.</w:t>
      </w:r>
    </w:p>
    <w:p w:rsidR="7AF7DE13" w:rsidP="7CA5013D" w:rsidRDefault="7AF7DE13" w14:paraId="38BFA6F3" w14:textId="035CDEF5">
      <w:pPr>
        <w:pStyle w:val="Heading1"/>
        <w:suppressLineNumbers w:val="0"/>
        <w:bidi w:val="0"/>
        <w:spacing w:before="240" w:beforeAutospacing="off" w:after="0" w:afterAutospacing="off" w:line="259" w:lineRule="auto"/>
        <w:ind w:left="432" w:right="0" w:hanging="432"/>
        <w:jc w:val="left"/>
      </w:pPr>
      <w:bookmarkStart w:name="_Int_IJJRgXcS" w:id="1205101746"/>
      <w:r w:rsidR="7AF7DE13">
        <w:rPr/>
        <w:t>Future Outlook</w:t>
      </w:r>
      <w:bookmarkEnd w:id="1205101746"/>
    </w:p>
    <w:p w:rsidR="002613D2" w:rsidP="002613D2" w:rsidRDefault="002613D2" w14:paraId="31032614" w14:textId="6622F7B3">
      <w:r w:rsidR="002613D2">
        <w:rPr/>
        <w:t xml:space="preserve">The Middle East will </w:t>
      </w:r>
      <w:r w:rsidR="002613D2">
        <w:rPr/>
        <w:t>utilize</w:t>
      </w:r>
      <w:r w:rsidR="002613D2">
        <w:rPr/>
        <w:t xml:space="preserve"> its renewable energy potential and see </w:t>
      </w:r>
      <w:r w:rsidR="002613D2">
        <w:rPr/>
        <w:t>strong growth</w:t>
      </w:r>
      <w:r w:rsidR="002613D2">
        <w:rPr/>
        <w:t xml:space="preserve"> in BESS. Countries like Saudi Arabia, the UAE, and Qatar will </w:t>
      </w:r>
      <w:r w:rsidR="002613D2">
        <w:rPr/>
        <w:t>emerge</w:t>
      </w:r>
      <w:r w:rsidR="002613D2">
        <w:rPr/>
        <w:t xml:space="preserve"> as key players in the region’s BESS market. Government support and investments will drive large-scale storage projects, making BESS a crucial part of the energy transition. As a result, the Middle East will become one of the fastest-growing markets for BESS, with </w:t>
      </w:r>
      <w:r w:rsidR="3AA85E38">
        <w:rPr/>
        <w:t>strong</w:t>
      </w:r>
      <w:r w:rsidR="002613D2">
        <w:rPr/>
        <w:t xml:space="preserve"> market </w:t>
      </w:r>
      <w:r w:rsidR="002613D2">
        <w:rPr/>
        <w:t>growth.</w:t>
      </w:r>
    </w:p>
    <w:p w:rsidRPr="00D73B0A" w:rsidR="00D73B0A" w:rsidP="00D73B0A" w:rsidRDefault="00D73B0A" w14:paraId="189EAB8F" w14:textId="15F73EDE">
      <w:pPr>
        <w:jc w:val="center"/>
      </w:pPr>
      <w:r>
        <w:rPr>
          <w:noProof/>
        </w:rPr>
        <w:drawing>
          <wp:inline distT="0" distB="0" distL="0" distR="0" wp14:anchorId="49337E59" wp14:editId="4C8A4C29">
            <wp:extent cx="6583680" cy="3365500"/>
            <wp:effectExtent l="0" t="0" r="0" b="0"/>
            <wp:docPr id="1747108072" name="Picture 5" descr="A graph with a green and blue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108072" name="Picture 5" descr="A graph with a green and blue bar&#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583680" cy="3365500"/>
                    </a:xfrm>
                    <a:prstGeom prst="rect">
                      <a:avLst/>
                    </a:prstGeom>
                  </pic:spPr>
                </pic:pic>
              </a:graphicData>
            </a:graphic>
          </wp:inline>
        </w:drawing>
      </w:r>
    </w:p>
    <w:p w:rsidRPr="00D200F8" w:rsidR="002613D2" w:rsidP="00D73B0A" w:rsidRDefault="002613D2" w14:paraId="372B7282" w14:textId="20E3B69D" w14:noSpellErr="1">
      <w:pPr>
        <w:jc w:val="center"/>
      </w:pPr>
      <w:r w:rsidR="002613D2">
        <w:rPr/>
        <w:t xml:space="preserve">Figure </w:t>
      </w:r>
      <w:r w:rsidR="00086601">
        <w:rPr/>
        <w:t>3</w:t>
      </w:r>
      <w:r w:rsidR="002613D2">
        <w:rPr/>
        <w:t xml:space="preserve">: </w:t>
      </w:r>
      <w:r w:rsidR="002613D2">
        <w:rPr/>
        <w:t>Future Outlook</w:t>
      </w:r>
      <w:r w:rsidR="002613D2">
        <w:rPr/>
        <w:t xml:space="preserve"> for BESS Growth in the Middle East</w:t>
      </w:r>
    </w:p>
    <w:p w:rsidRPr="00D200F8" w:rsidR="002613D2" w:rsidP="00D73B0A" w:rsidRDefault="002613D2" w14:paraId="18D4A3A5" w14:textId="6A992BFA">
      <w:pPr>
        <w:jc w:val="center"/>
      </w:pPr>
      <w:r w:rsidRPr="00D200F8">
        <w:t>Source: PTR</w:t>
      </w:r>
      <w:r w:rsidR="00D200F8">
        <w:t xml:space="preserve"> Inc.</w:t>
      </w:r>
    </w:p>
    <w:p w:rsidRPr="002613D2" w:rsidR="002613D2" w:rsidP="002613D2" w:rsidRDefault="002613D2" w14:paraId="6A7FB53E" w14:textId="24C7A53D">
      <w:pPr>
        <w:pStyle w:val="Heading1"/>
      </w:pPr>
      <w:r>
        <w:t>Conclusion</w:t>
      </w:r>
    </w:p>
    <w:p w:rsidRPr="004767F7" w:rsidR="004767F7" w:rsidP="7CA5013D" w:rsidRDefault="004767F7" w14:paraId="720607AC" w14:textId="26025DCB" w14:noSpellErr="1">
      <w:pPr>
        <w:rPr>
          <w:rFonts w:cs="Segoe UI" w:cstheme="minorAscii"/>
        </w:rPr>
      </w:pPr>
      <w:r w:rsidRPr="7CA5013D" w:rsidR="004767F7">
        <w:rPr>
          <w:rFonts w:cs="Segoe UI" w:cstheme="minorAscii"/>
        </w:rPr>
        <w:t xml:space="preserve">The Middle East is at a pivotal moment in its energy transition. Harnessing its unparalleled solar resources and advancing energy storage solutions can position the region as a leader in clean energy innovation. While significant challenges </w:t>
      </w:r>
      <w:r w:rsidRPr="7CA5013D" w:rsidR="004767F7">
        <w:rPr>
          <w:rFonts w:cs="Segoe UI" w:cstheme="minorAscii"/>
        </w:rPr>
        <w:t>remain</w:t>
      </w:r>
      <w:r w:rsidRPr="7CA5013D" w:rsidR="004767F7">
        <w:rPr>
          <w:rFonts w:cs="Segoe UI" w:cstheme="minorAscii"/>
        </w:rPr>
        <w:t xml:space="preserve">—especially in scaling renewables and ensuring grid stability—ongoing investments and technological adaptation signal a strong commitment to building a sustainable energy future that aligns with global climate </w:t>
      </w:r>
      <w:r w:rsidRPr="7CA5013D" w:rsidR="004767F7">
        <w:rPr>
          <w:rFonts w:cs="Segoe UI" w:cstheme="minorAscii"/>
        </w:rPr>
        <w:t>objectives</w:t>
      </w:r>
      <w:r w:rsidRPr="7CA5013D" w:rsidR="004767F7">
        <w:rPr>
          <w:rFonts w:cs="Segoe UI" w:cstheme="minorAscii"/>
        </w:rPr>
        <w:t>.</w:t>
      </w:r>
    </w:p>
    <w:p w:rsidRPr="00BF2EED" w:rsidR="008E2D3D" w:rsidP="7CA5013D" w:rsidRDefault="00BF2EED" w14:paraId="7B0A24AA" w14:textId="3D1258BA">
      <w:pPr>
        <w:spacing w:before="0" w:beforeAutospacing="0" w:after="0" w:afterAutospacing="0"/>
        <w:textAlignment w:val="baseline"/>
        <w:rPr>
          <w:rFonts w:ascii="Segoe UI" w:hAnsi="Segoe UI" w:eastAsia="Segoe UI" w:cs="Segoe UI"/>
          <w:b w:val="0"/>
          <w:bCs w:val="0"/>
          <w:i w:val="0"/>
          <w:iCs w:val="0"/>
          <w:caps w:val="0"/>
          <w:smallCaps w:val="0"/>
          <w:noProof w:val="0"/>
          <w:color w:val="1B577B"/>
          <w:sz w:val="28"/>
          <w:szCs w:val="28"/>
          <w:lang w:val="en-US"/>
        </w:rPr>
      </w:pPr>
      <w:r w:rsidRPr="7CA5013D" w:rsidR="050D07B2">
        <w:rPr>
          <w:rFonts w:ascii="Segoe UI" w:hAnsi="Segoe UI" w:eastAsia="Segoe UI" w:cs="Segoe UI"/>
          <w:b w:val="0"/>
          <w:bCs w:val="0"/>
          <w:i w:val="0"/>
          <w:iCs w:val="0"/>
          <w:caps w:val="0"/>
          <w:smallCaps w:val="0"/>
          <w:noProof w:val="0"/>
          <w:color w:val="1B577B"/>
          <w:sz w:val="28"/>
          <w:szCs w:val="28"/>
          <w:lang w:val="en-US"/>
        </w:rPr>
        <w:t>About the Author</w:t>
      </w:r>
    </w:p>
    <w:p w:rsidRPr="00BF2EED" w:rsidR="008E2D3D" w:rsidP="7CA5013D" w:rsidRDefault="00BF2EED" w14:paraId="50C7758C" w14:textId="796822B0">
      <w:pPr>
        <w:spacing w:before="0" w:beforeAutospacing="0" w:after="0" w:afterAutospacing="0" w:line="240" w:lineRule="auto"/>
        <w:textAlignment w:val="baseline"/>
        <w:rPr>
          <w:rFonts w:ascii="Segoe UI" w:hAnsi="Segoe UI" w:eastAsia="Segoe UI" w:cs="Segoe UI"/>
          <w:b w:val="0"/>
          <w:bCs w:val="0"/>
          <w:i w:val="0"/>
          <w:iCs w:val="0"/>
          <w:caps w:val="0"/>
          <w:smallCaps w:val="0"/>
          <w:noProof w:val="0"/>
          <w:color w:val="1B587C" w:themeColor="accent1" w:themeTint="FF" w:themeShade="FF"/>
          <w:sz w:val="22"/>
          <w:szCs w:val="22"/>
          <w:lang w:val="en-US"/>
        </w:rPr>
      </w:pPr>
    </w:p>
    <w:p w:rsidRPr="00BF2EED" w:rsidR="008E2D3D" w:rsidP="7CA5013D" w:rsidRDefault="00BF2EED" w14:paraId="0F2FC1F3" w14:textId="32A25192">
      <w:pPr>
        <w:spacing w:before="0" w:beforeAutospacing="0" w:after="0" w:afterAutospacing="0" w:line="240" w:lineRule="auto"/>
        <w:textAlignment w:val="baseline"/>
        <w:rPr>
          <w:rFonts w:ascii="Arial" w:hAnsi="Arial" w:eastAsia="Arial" w:cs="Arial"/>
          <w:b w:val="0"/>
          <w:bCs w:val="0"/>
          <w:i w:val="0"/>
          <w:iCs w:val="0"/>
          <w:caps w:val="0"/>
          <w:smallCaps w:val="0"/>
          <w:noProof w:val="0"/>
          <w:color w:val="1B587C" w:themeColor="accent1" w:themeTint="FF" w:themeShade="FF"/>
          <w:sz w:val="22"/>
          <w:szCs w:val="22"/>
          <w:lang w:val="en-US"/>
        </w:rPr>
      </w:pPr>
      <w:r w:rsidR="050D07B2">
        <w:drawing>
          <wp:inline wp14:editId="4FD3A64E" wp14:anchorId="63D08274">
            <wp:extent cx="1123950" cy="1285875"/>
            <wp:effectExtent l="0" t="0" r="0" b="0"/>
            <wp:docPr id="936982915" name="" descr="A person in a suit&#10;&#10;Description automatically generated" title=""/>
            <wp:cNvGraphicFramePr>
              <a:graphicFrameLocks noChangeAspect="1"/>
            </wp:cNvGraphicFramePr>
            <a:graphic>
              <a:graphicData uri="http://schemas.openxmlformats.org/drawingml/2006/picture">
                <pic:pic>
                  <pic:nvPicPr>
                    <pic:cNvPr id="0" name=""/>
                    <pic:cNvPicPr/>
                  </pic:nvPicPr>
                  <pic:blipFill>
                    <a:blip r:embed="Rb85798cecad84e03">
                      <a:extLst>
                        <a:ext xmlns:a="http://schemas.openxmlformats.org/drawingml/2006/main" uri="{28A0092B-C50C-407E-A947-70E740481C1C}">
                          <a14:useLocalDpi val="0"/>
                        </a:ext>
                      </a:extLst>
                    </a:blip>
                    <a:stretch>
                      <a:fillRect/>
                    </a:stretch>
                  </pic:blipFill>
                  <pic:spPr>
                    <a:xfrm>
                      <a:off x="0" y="0"/>
                      <a:ext cx="1123950" cy="1285875"/>
                    </a:xfrm>
                    <a:prstGeom prst="rect">
                      <a:avLst/>
                    </a:prstGeom>
                  </pic:spPr>
                </pic:pic>
              </a:graphicData>
            </a:graphic>
          </wp:inline>
        </w:drawing>
      </w:r>
      <w:r>
        <w:br/>
      </w:r>
      <w:r w:rsidRPr="7CA5013D" w:rsidR="050D07B2">
        <w:rPr>
          <w:rStyle w:val="normaltextrun"/>
          <w:rFonts w:ascii="Segoe UI" w:hAnsi="Segoe UI" w:eastAsia="Segoe UI" w:cs="Segoe UI"/>
          <w:b w:val="1"/>
          <w:bCs w:val="1"/>
          <w:i w:val="0"/>
          <w:iCs w:val="0"/>
          <w:caps w:val="0"/>
          <w:smallCaps w:val="0"/>
          <w:noProof w:val="0"/>
          <w:color w:val="1B587C" w:themeColor="accent1" w:themeTint="FF" w:themeShade="FF"/>
          <w:sz w:val="22"/>
          <w:szCs w:val="22"/>
          <w:lang w:val="en-US"/>
        </w:rPr>
        <w:t>Saqib Saeed</w:t>
      </w:r>
      <w:r>
        <w:br/>
      </w:r>
    </w:p>
    <w:p w:rsidRPr="00BF2EED" w:rsidR="008E2D3D" w:rsidP="7CA5013D" w:rsidRDefault="00BF2EED" w14:paraId="76297AB0" w14:textId="1AC2669D">
      <w:pPr>
        <w:spacing w:before="0" w:beforeAutospacing="0" w:after="0" w:afterAutospacing="0"/>
        <w:textAlignment w:val="baseline"/>
        <w:rPr>
          <w:rFonts w:ascii="Arial" w:hAnsi="Arial" w:eastAsia="Arial" w:cs="Arial"/>
          <w:b w:val="0"/>
          <w:bCs w:val="0"/>
          <w:i w:val="0"/>
          <w:iCs w:val="0"/>
          <w:caps w:val="0"/>
          <w:smallCaps w:val="0"/>
          <w:noProof w:val="0"/>
          <w:color w:val="1B587C" w:themeColor="accent1" w:themeTint="FF" w:themeShade="FF"/>
          <w:sz w:val="22"/>
          <w:szCs w:val="22"/>
          <w:lang w:val="en-US"/>
        </w:rPr>
      </w:pPr>
      <w:r w:rsidRPr="7CA5013D" w:rsidR="050D07B2">
        <w:rPr>
          <w:rStyle w:val="normaltextrun"/>
          <w:rFonts w:ascii="Arial" w:hAnsi="Arial" w:eastAsia="Arial" w:cs="Arial"/>
          <w:b w:val="0"/>
          <w:bCs w:val="0"/>
          <w:i w:val="0"/>
          <w:iCs w:val="0"/>
          <w:caps w:val="0"/>
          <w:smallCaps w:val="0"/>
          <w:noProof w:val="0"/>
          <w:color w:val="1B587C" w:themeColor="accent1" w:themeTint="FF" w:themeShade="FF"/>
          <w:sz w:val="22"/>
          <w:szCs w:val="22"/>
          <w:lang w:val="en-US"/>
        </w:rPr>
        <w:t>Chief Product Officer - PTR Inc.</w:t>
      </w:r>
    </w:p>
    <w:p w:rsidRPr="00BF2EED" w:rsidR="008E2D3D" w:rsidP="320EB1EF" w:rsidRDefault="00BF2EED" w14:paraId="05515137" w14:textId="74F0F162">
      <w:pPr>
        <w:spacing w:before="0" w:beforeAutospacing="off" w:after="0" w:afterAutospacing="off" w:line="240" w:lineRule="auto"/>
        <w:textAlignment w:val="baseline"/>
        <w:rPr>
          <w:rFonts w:ascii="Times New Roman" w:hAnsi="Times New Roman" w:eastAsia="Times New Roman" w:cs="Times New Roman"/>
          <w:b w:val="0"/>
          <w:bCs w:val="0"/>
          <w:i w:val="0"/>
          <w:iCs w:val="0"/>
          <w:caps w:val="0"/>
          <w:smallCaps w:val="0"/>
          <w:noProof w:val="0"/>
          <w:color w:val="404040" w:themeColor="accent5" w:themeTint="FF" w:themeShade="80"/>
          <w:sz w:val="24"/>
          <w:szCs w:val="24"/>
          <w:lang w:val="en-US"/>
        </w:rPr>
      </w:pPr>
      <w:r w:rsidRPr="320EB1EF" w:rsidR="050D07B2">
        <w:rPr>
          <w:rStyle w:val="normaltextrun"/>
          <w:rFonts w:ascii="Segoe UI" w:hAnsi="Segoe UI" w:eastAsia="Segoe UI" w:cs="Segoe UI"/>
          <w:b w:val="0"/>
          <w:bCs w:val="0"/>
          <w:i w:val="0"/>
          <w:iCs w:val="0"/>
          <w:caps w:val="0"/>
          <w:smallCaps w:val="0"/>
          <w:noProof w:val="0"/>
          <w:color w:val="000000" w:themeColor="text1" w:themeTint="FF" w:themeShade="FF"/>
          <w:sz w:val="22"/>
          <w:szCs w:val="22"/>
          <w:lang w:val="en-US"/>
        </w:rPr>
        <w:t xml:space="preserve">Saqib is </w:t>
      </w:r>
      <w:bookmarkStart w:name="_Int_CTKXSnmj" w:id="279480310"/>
      <w:r w:rsidRPr="320EB1EF" w:rsidR="050D07B2">
        <w:rPr>
          <w:rStyle w:val="normaltextrun"/>
          <w:rFonts w:ascii="Segoe UI" w:hAnsi="Segoe UI" w:eastAsia="Segoe UI" w:cs="Segoe UI"/>
          <w:b w:val="0"/>
          <w:bCs w:val="0"/>
          <w:i w:val="0"/>
          <w:iCs w:val="0"/>
          <w:caps w:val="0"/>
          <w:smallCaps w:val="0"/>
          <w:noProof w:val="0"/>
          <w:color w:val="000000" w:themeColor="text1" w:themeTint="FF" w:themeShade="FF"/>
          <w:sz w:val="22"/>
          <w:szCs w:val="22"/>
          <w:lang w:val="en-US"/>
        </w:rPr>
        <w:t>a highly accomplished market research</w:t>
      </w:r>
      <w:bookmarkEnd w:id="279480310"/>
      <w:r w:rsidRPr="320EB1EF" w:rsidR="050D07B2">
        <w:rPr>
          <w:rStyle w:val="normaltextrun"/>
          <w:rFonts w:ascii="Segoe UI" w:hAnsi="Segoe UI" w:eastAsia="Segoe UI" w:cs="Segoe UI"/>
          <w:b w:val="0"/>
          <w:bCs w:val="0"/>
          <w:i w:val="0"/>
          <w:iCs w:val="0"/>
          <w:caps w:val="0"/>
          <w:smallCaps w:val="0"/>
          <w:noProof w:val="0"/>
          <w:color w:val="000000" w:themeColor="text1" w:themeTint="FF" w:themeShade="FF"/>
          <w:sz w:val="22"/>
          <w:szCs w:val="22"/>
          <w:lang w:val="en-US"/>
        </w:rPr>
        <w:t xml:space="preserve"> professional and a data storyteller in the international energy industry. With over a decade of experience in the field, he currently serves as the Chief Product Officer at PTR Inc. His </w:t>
      </w:r>
      <w:r w:rsidRPr="320EB1EF" w:rsidR="050D07B2">
        <w:rPr>
          <w:rStyle w:val="normaltextrun"/>
          <w:rFonts w:ascii="Segoe UI" w:hAnsi="Segoe UI" w:eastAsia="Segoe UI" w:cs="Segoe UI"/>
          <w:b w:val="0"/>
          <w:bCs w:val="0"/>
          <w:i w:val="0"/>
          <w:iCs w:val="0"/>
          <w:caps w:val="0"/>
          <w:smallCaps w:val="0"/>
          <w:noProof w:val="0"/>
          <w:color w:val="000000" w:themeColor="text1" w:themeTint="FF" w:themeShade="FF"/>
          <w:sz w:val="22"/>
          <w:szCs w:val="22"/>
          <w:lang w:val="en-US"/>
        </w:rPr>
        <w:t>expertise</w:t>
      </w:r>
      <w:r w:rsidRPr="320EB1EF" w:rsidR="050D07B2">
        <w:rPr>
          <w:rStyle w:val="normaltextrun"/>
          <w:rFonts w:ascii="Segoe UI" w:hAnsi="Segoe UI" w:eastAsia="Segoe UI" w:cs="Segoe UI"/>
          <w:b w:val="0"/>
          <w:bCs w:val="0"/>
          <w:i w:val="0"/>
          <w:iCs w:val="0"/>
          <w:caps w:val="0"/>
          <w:smallCaps w:val="0"/>
          <w:noProof w:val="0"/>
          <w:color w:val="000000" w:themeColor="text1" w:themeTint="FF" w:themeShade="FF"/>
          <w:sz w:val="22"/>
          <w:szCs w:val="22"/>
          <w:lang w:val="en-US"/>
        </w:rPr>
        <w:t xml:space="preserve"> lies in the power grid and e-mobility equipment sectors. Saqib has overseen </w:t>
      </w:r>
      <w:r w:rsidRPr="320EB1EF" w:rsidR="050D07B2">
        <w:rPr>
          <w:rStyle w:val="normaltextrun"/>
          <w:rFonts w:ascii="Segoe UI" w:hAnsi="Segoe UI" w:eastAsia="Segoe UI" w:cs="Segoe UI"/>
          <w:b w:val="0"/>
          <w:bCs w:val="0"/>
          <w:i w:val="0"/>
          <w:iCs w:val="0"/>
          <w:caps w:val="0"/>
          <w:smallCaps w:val="0"/>
          <w:noProof w:val="0"/>
          <w:color w:val="000000" w:themeColor="text1" w:themeTint="FF" w:themeShade="FF"/>
          <w:sz w:val="22"/>
          <w:szCs w:val="22"/>
          <w:lang w:val="en-US"/>
        </w:rPr>
        <w:t>numerous</w:t>
      </w:r>
      <w:r w:rsidRPr="320EB1EF" w:rsidR="050D07B2">
        <w:rPr>
          <w:rStyle w:val="normaltextrun"/>
          <w:rFonts w:ascii="Segoe UI" w:hAnsi="Segoe UI" w:eastAsia="Segoe UI" w:cs="Segoe UI"/>
          <w:b w:val="0"/>
          <w:bCs w:val="0"/>
          <w:i w:val="0"/>
          <w:iCs w:val="0"/>
          <w:caps w:val="0"/>
          <w:smallCaps w:val="0"/>
          <w:noProof w:val="0"/>
          <w:color w:val="000000" w:themeColor="text1" w:themeTint="FF" w:themeShade="FF"/>
          <w:sz w:val="22"/>
          <w:szCs w:val="22"/>
          <w:lang w:val="en-US"/>
        </w:rPr>
        <w:t xml:space="preserve"> global market research studies throughout his career and </w:t>
      </w:r>
      <w:r w:rsidRPr="320EB1EF" w:rsidR="050D07B2">
        <w:rPr>
          <w:rStyle w:val="normaltextrun"/>
          <w:rFonts w:ascii="Segoe UI" w:hAnsi="Segoe UI" w:eastAsia="Segoe UI" w:cs="Segoe UI"/>
          <w:b w:val="0"/>
          <w:bCs w:val="0"/>
          <w:i w:val="0"/>
          <w:iCs w:val="0"/>
          <w:caps w:val="0"/>
          <w:smallCaps w:val="0"/>
          <w:noProof w:val="0"/>
          <w:color w:val="000000" w:themeColor="text1" w:themeTint="FF" w:themeShade="FF"/>
          <w:sz w:val="22"/>
          <w:szCs w:val="22"/>
          <w:lang w:val="en-US"/>
        </w:rPr>
        <w:t>provided</w:t>
      </w:r>
      <w:r w:rsidRPr="320EB1EF" w:rsidR="050D07B2">
        <w:rPr>
          <w:rStyle w:val="normaltextrun"/>
          <w:rFonts w:ascii="Segoe UI" w:hAnsi="Segoe UI" w:eastAsia="Segoe UI" w:cs="Segoe UI"/>
          <w:b w:val="0"/>
          <w:bCs w:val="0"/>
          <w:i w:val="0"/>
          <w:iCs w:val="0"/>
          <w:caps w:val="0"/>
          <w:smallCaps w:val="0"/>
          <w:noProof w:val="0"/>
          <w:color w:val="000000" w:themeColor="text1" w:themeTint="FF" w:themeShade="FF"/>
          <w:sz w:val="22"/>
          <w:szCs w:val="22"/>
          <w:lang w:val="en-US"/>
        </w:rPr>
        <w:t xml:space="preserve"> valuable insights to key decision-makers at various Fortune 500 companies. He is a member of the editorial board for Transformers Magazine and a member of the Advisory board of CWIEME Berlin and Middle East Energy. In addition to his market research career, Saqib has worked as an Electrical Engineer in the manufacturing sector.</w:t>
      </w:r>
      <w:r w:rsidRPr="320EB1EF" w:rsidR="050D07B2">
        <w:rPr>
          <w:rStyle w:val="normaltextrun"/>
          <w:rFonts w:ascii="Times New Roman" w:hAnsi="Times New Roman" w:eastAsia="Times New Roman" w:cs="Times New Roman"/>
          <w:b w:val="0"/>
          <w:bCs w:val="0"/>
          <w:i w:val="0"/>
          <w:iCs w:val="0"/>
          <w:caps w:val="0"/>
          <w:smallCaps w:val="0"/>
          <w:noProof w:val="0"/>
          <w:color w:val="404040" w:themeColor="accent5" w:themeTint="FF" w:themeShade="80"/>
          <w:sz w:val="24"/>
          <w:szCs w:val="24"/>
          <w:lang w:val="en-US"/>
        </w:rPr>
        <w:t> </w:t>
      </w:r>
    </w:p>
    <w:p w:rsidRPr="00BF2EED" w:rsidR="008E2D3D" w:rsidP="7CA5013D" w:rsidRDefault="00BF2EED" w14:paraId="20C2005B" w14:textId="2F9043E4">
      <w:pPr>
        <w:spacing w:before="0" w:beforeAutospacing="off" w:after="0" w:afterAutospacing="off" w:line="240" w:lineRule="auto"/>
        <w:textAlignment w:val="baseline"/>
        <w:rPr>
          <w:rFonts w:ascii="Times New Roman" w:hAnsi="Times New Roman" w:eastAsia="Times New Roman" w:cs="Times New Roman"/>
          <w:b w:val="0"/>
          <w:bCs w:val="0"/>
          <w:i w:val="0"/>
          <w:iCs w:val="0"/>
          <w:caps w:val="0"/>
          <w:smallCaps w:val="0"/>
          <w:noProof w:val="0"/>
          <w:color w:val="404040" w:themeColor="accent5" w:themeTint="FF" w:themeShade="80"/>
          <w:sz w:val="24"/>
          <w:szCs w:val="24"/>
          <w:lang w:val="en-US"/>
        </w:rPr>
      </w:pPr>
    </w:p>
    <w:p w:rsidRPr="00BF2EED" w:rsidR="008E2D3D" w:rsidP="7CA5013D" w:rsidRDefault="00BF2EED" w14:paraId="0ED50CE1" w14:textId="57F9C11B">
      <w:pPr>
        <w:spacing w:before="0" w:beforeAutospacing="off" w:after="0" w:afterAutospacing="off" w:line="240" w:lineRule="auto"/>
        <w:textAlignment w:val="baseline"/>
        <w:rPr>
          <w:rFonts w:ascii="Times New Roman" w:hAnsi="Times New Roman" w:eastAsia="Times New Roman" w:cs="Times New Roman"/>
          <w:b w:val="0"/>
          <w:bCs w:val="0"/>
          <w:i w:val="0"/>
          <w:iCs w:val="0"/>
          <w:caps w:val="0"/>
          <w:smallCaps w:val="0"/>
          <w:noProof w:val="0"/>
          <w:color w:val="404040" w:themeColor="accent5" w:themeTint="FF" w:themeShade="80"/>
          <w:sz w:val="24"/>
          <w:szCs w:val="24"/>
          <w:lang w:val="en-US"/>
        </w:rPr>
      </w:pPr>
      <w:r w:rsidR="050D07B2">
        <w:drawing>
          <wp:inline wp14:editId="3794A821" wp14:anchorId="77E4130C">
            <wp:extent cx="1057275" cy="1381125"/>
            <wp:effectExtent l="0" t="0" r="0" b="0"/>
            <wp:docPr id="22445604" name="" descr="A person with long hair wearing a suit&#10;&#10;AI-generated content may be incorrect." title=""/>
            <wp:cNvGraphicFramePr>
              <a:graphicFrameLocks noChangeAspect="1"/>
            </wp:cNvGraphicFramePr>
            <a:graphic>
              <a:graphicData uri="http://schemas.openxmlformats.org/drawingml/2006/picture">
                <pic:pic>
                  <pic:nvPicPr>
                    <pic:cNvPr id="0" name=""/>
                    <pic:cNvPicPr/>
                  </pic:nvPicPr>
                  <pic:blipFill>
                    <a:blip r:embed="Rfd29151fae0a4137">
                      <a:extLst>
                        <a:ext xmlns:a="http://schemas.openxmlformats.org/drawingml/2006/main" uri="{28A0092B-C50C-407E-A947-70E740481C1C}">
                          <a14:useLocalDpi val="0"/>
                        </a:ext>
                      </a:extLst>
                    </a:blip>
                    <a:stretch>
                      <a:fillRect/>
                    </a:stretch>
                  </pic:blipFill>
                  <pic:spPr>
                    <a:xfrm>
                      <a:off x="0" y="0"/>
                      <a:ext cx="1057275" cy="1381125"/>
                    </a:xfrm>
                    <a:prstGeom prst="rect">
                      <a:avLst/>
                    </a:prstGeom>
                  </pic:spPr>
                </pic:pic>
              </a:graphicData>
            </a:graphic>
          </wp:inline>
        </w:drawing>
      </w:r>
    </w:p>
    <w:p w:rsidRPr="00BF2EED" w:rsidR="008E2D3D" w:rsidP="7CA5013D" w:rsidRDefault="00BF2EED" w14:paraId="627C3932" w14:textId="2C1AD012">
      <w:pPr>
        <w:spacing w:before="0" w:beforeAutospacing="0" w:after="0" w:afterAutospacing="0"/>
        <w:textAlignment w:val="baseline"/>
        <w:rPr>
          <w:rFonts w:ascii="Segoe UI" w:hAnsi="Segoe UI" w:eastAsia="Segoe UI" w:cs="Segoe UI"/>
          <w:b w:val="0"/>
          <w:bCs w:val="0"/>
          <w:i w:val="0"/>
          <w:iCs w:val="0"/>
          <w:caps w:val="0"/>
          <w:smallCaps w:val="0"/>
          <w:noProof w:val="0"/>
          <w:color w:val="1B587C" w:themeColor="accent1" w:themeTint="FF" w:themeShade="FF"/>
          <w:sz w:val="24"/>
          <w:szCs w:val="24"/>
          <w:lang w:val="en-US"/>
        </w:rPr>
      </w:pPr>
      <w:r w:rsidRPr="7CA5013D" w:rsidR="050D07B2">
        <w:rPr>
          <w:rFonts w:ascii="Segoe UI" w:hAnsi="Segoe UI" w:eastAsia="Segoe UI" w:cs="Segoe UI"/>
          <w:b w:val="1"/>
          <w:bCs w:val="1"/>
          <w:i w:val="0"/>
          <w:iCs w:val="0"/>
          <w:caps w:val="0"/>
          <w:smallCaps w:val="0"/>
          <w:noProof w:val="0"/>
          <w:color w:val="1B587C" w:themeColor="accent1" w:themeTint="FF" w:themeShade="FF"/>
          <w:sz w:val="24"/>
          <w:szCs w:val="24"/>
          <w:lang w:val="en-US"/>
        </w:rPr>
        <w:t>Siddiqa Batool  </w:t>
      </w:r>
    </w:p>
    <w:p w:rsidRPr="00BF2EED" w:rsidR="008E2D3D" w:rsidP="7CA5013D" w:rsidRDefault="00BF2EED" w14:paraId="04384482" w14:textId="48DA263E">
      <w:pPr>
        <w:spacing w:before="0" w:beforeAutospacing="0" w:after="0" w:afterAutospacing="0"/>
        <w:textAlignment w:val="baseline"/>
        <w:rPr>
          <w:rFonts w:ascii="Segoe UI" w:hAnsi="Segoe UI" w:eastAsia="Segoe UI" w:cs="Segoe UI"/>
          <w:b w:val="0"/>
          <w:bCs w:val="0"/>
          <w:i w:val="0"/>
          <w:iCs w:val="0"/>
          <w:caps w:val="0"/>
          <w:smallCaps w:val="0"/>
          <w:noProof w:val="0"/>
          <w:color w:val="1B587C" w:themeColor="accent1" w:themeTint="FF" w:themeShade="FF"/>
          <w:sz w:val="22"/>
          <w:szCs w:val="22"/>
          <w:lang w:val="en-US"/>
        </w:rPr>
      </w:pPr>
      <w:r w:rsidRPr="7CA5013D" w:rsidR="050D07B2">
        <w:rPr>
          <w:rStyle w:val="normaltextrun"/>
          <w:rFonts w:ascii="Segoe UI" w:hAnsi="Segoe UI" w:eastAsia="Segoe UI" w:cs="Segoe UI"/>
          <w:b w:val="0"/>
          <w:bCs w:val="0"/>
          <w:i w:val="0"/>
          <w:iCs w:val="0"/>
          <w:caps w:val="0"/>
          <w:smallCaps w:val="0"/>
          <w:noProof w:val="0"/>
          <w:color w:val="1B587C" w:themeColor="accent1" w:themeTint="FF" w:themeShade="FF"/>
          <w:sz w:val="22"/>
          <w:szCs w:val="22"/>
          <w:lang w:val="en-US"/>
        </w:rPr>
        <w:t>Research Analyst - PTR Inc.  </w:t>
      </w:r>
    </w:p>
    <w:p w:rsidRPr="00BF2EED" w:rsidR="008E2D3D" w:rsidP="7CA5013D" w:rsidRDefault="00BF2EED" w14:paraId="7C822107" w14:textId="6DB18D23">
      <w:pPr>
        <w:spacing w:before="0" w:beforeAutospacing="0" w:after="0" w:afterAutospacing="0"/>
        <w:textAlignment w:val="baseline"/>
        <w:rPr>
          <w:rFonts w:ascii="Segoe UI" w:hAnsi="Segoe UI" w:eastAsia="Segoe UI" w:cs="Segoe UI"/>
          <w:b w:val="0"/>
          <w:bCs w:val="0"/>
          <w:i w:val="0"/>
          <w:iCs w:val="0"/>
          <w:caps w:val="0"/>
          <w:smallCaps w:val="0"/>
          <w:noProof w:val="0"/>
          <w:color w:val="000000" w:themeColor="text1" w:themeTint="FF" w:themeShade="FF"/>
          <w:sz w:val="22"/>
          <w:szCs w:val="22"/>
          <w:lang w:val="en-US"/>
        </w:rPr>
      </w:pPr>
      <w:r w:rsidRPr="7CA5013D" w:rsidR="050D07B2">
        <w:rPr>
          <w:rFonts w:ascii="Segoe UI" w:hAnsi="Segoe UI" w:eastAsia="Segoe UI" w:cs="Segoe UI"/>
          <w:b w:val="0"/>
          <w:bCs w:val="0"/>
          <w:i w:val="0"/>
          <w:iCs w:val="0"/>
          <w:caps w:val="0"/>
          <w:smallCaps w:val="0"/>
          <w:noProof w:val="0"/>
          <w:color w:val="000000" w:themeColor="text1" w:themeTint="FF" w:themeShade="FF"/>
          <w:sz w:val="22"/>
          <w:szCs w:val="22"/>
          <w:lang w:val="en-US"/>
        </w:rPr>
        <w:t>Siddiqa Batool is a Research &amp; Market Analyst at PTR Inc, with a focus on the topic of energy storage. Her research includes analyzing market developments regarding energy storage, ranging from legislative landscapes to business cases, installations, pipeline projects, and the developments in battery chemistries and their supply chain. She has also undertaken custom projects on the topic of energy storage, further advancing her knowledge and research on the topic. She has a bachelor's degree in electrical engineering from Mehran, UET, which brings the value of technical background to her role as a market analyst. </w:t>
      </w:r>
    </w:p>
    <w:p w:rsidRPr="00BF2EED" w:rsidR="008E2D3D" w:rsidP="7CA5013D" w:rsidRDefault="00BF2EED" w14:paraId="7B435E35" w14:textId="76815119">
      <w:pPr>
        <w:spacing w:before="0" w:beforeAutospacing="0" w:after="0" w:afterAutospacing="0"/>
        <w:textAlignment w:val="baseline"/>
        <w:rPr>
          <w:rFonts w:ascii="Segoe UI" w:hAnsi="Segoe UI" w:eastAsia="Segoe UI" w:cs="Segoe UI"/>
          <w:b w:val="0"/>
          <w:bCs w:val="0"/>
          <w:i w:val="0"/>
          <w:iCs w:val="0"/>
          <w:caps w:val="0"/>
          <w:smallCaps w:val="0"/>
          <w:noProof w:val="0"/>
          <w:color w:val="000000" w:themeColor="text1" w:themeTint="FF" w:themeShade="FF"/>
          <w:sz w:val="22"/>
          <w:szCs w:val="22"/>
          <w:lang w:val="en-US"/>
        </w:rPr>
      </w:pPr>
      <w:r>
        <w:br/>
      </w:r>
      <w:r w:rsidRPr="7CA5013D" w:rsidR="050D07B2">
        <w:rPr>
          <w:rFonts w:ascii="Segoe UI" w:hAnsi="Segoe UI" w:eastAsia="Segoe UI" w:cs="Segoe UI"/>
          <w:b w:val="1"/>
          <w:bCs w:val="1"/>
          <w:i w:val="0"/>
          <w:iCs w:val="0"/>
          <w:caps w:val="0"/>
          <w:smallCaps w:val="0"/>
          <w:noProof w:val="0"/>
          <w:color w:val="1B577B"/>
          <w:sz w:val="24"/>
          <w:szCs w:val="24"/>
          <w:lang w:val="en-US"/>
        </w:rPr>
        <w:t>About PTR:</w:t>
      </w:r>
      <w:r w:rsidRPr="7CA5013D" w:rsidR="050D07B2">
        <w:rPr>
          <w:rFonts w:ascii="Segoe UI" w:hAnsi="Segoe UI" w:eastAsia="Segoe UI" w:cs="Segoe UI"/>
          <w:b w:val="1"/>
          <w:bCs w:val="1"/>
          <w:i w:val="0"/>
          <w:iCs w:val="0"/>
          <w:caps w:val="0"/>
          <w:smallCaps w:val="0"/>
          <w:noProof w:val="0"/>
          <w:color w:val="1B577B"/>
          <w:sz w:val="28"/>
          <w:szCs w:val="28"/>
          <w:lang w:val="en-US"/>
        </w:rPr>
        <w:t xml:space="preserve"> </w:t>
      </w:r>
      <w:r w:rsidRPr="7CA5013D" w:rsidR="050D07B2">
        <w:rPr>
          <w:rFonts w:ascii="Segoe UI" w:hAnsi="Segoe UI" w:eastAsia="Segoe UI" w:cs="Segoe UI"/>
          <w:b w:val="0"/>
          <w:bCs w:val="0"/>
          <w:i w:val="0"/>
          <w:iCs w:val="0"/>
          <w:caps w:val="0"/>
          <w:smallCaps w:val="0"/>
          <w:noProof w:val="0"/>
          <w:color w:val="000000" w:themeColor="text1" w:themeTint="FF" w:themeShade="FF"/>
          <w:sz w:val="22"/>
          <w:szCs w:val="22"/>
          <w:lang w:val="en-US"/>
        </w:rPr>
        <w:t>With over a decade of experience in the Power Grid and New Energy sectors, PTR Inc. has evolved from a core market research firm into a comprehensive Strategic Growth Partner, empowering clients’ transitions and growth in the energy landscape and E-mobility, particularly within the electrical infrastructure manufacturing space.</w:t>
      </w:r>
    </w:p>
    <w:p w:rsidRPr="00BF2EED" w:rsidR="008E2D3D" w:rsidP="7CA5013D" w:rsidRDefault="00BF2EED" w14:paraId="17F1B1E2" w14:textId="29CB735E">
      <w:pPr>
        <w:spacing w:before="0" w:beforeAutospacing="0" w:after="0" w:afterAutospacing="0"/>
        <w:textAlignment w:val="baseline"/>
        <w:rPr>
          <w:rFonts w:ascii="Segoe UI" w:hAnsi="Segoe UI" w:eastAsia="Segoe UI" w:cs="Segoe UI"/>
          <w:b w:val="0"/>
          <w:bCs w:val="0"/>
          <w:i w:val="0"/>
          <w:iCs w:val="0"/>
          <w:caps w:val="0"/>
          <w:smallCaps w:val="0"/>
          <w:noProof w:val="0"/>
          <w:color w:val="1B587C" w:themeColor="accent1" w:themeTint="FF" w:themeShade="FF"/>
          <w:sz w:val="20"/>
          <w:szCs w:val="20"/>
          <w:lang w:val="en-US"/>
        </w:rPr>
      </w:pPr>
      <w:r w:rsidRPr="7CA5013D" w:rsidR="050D07B2">
        <w:rPr>
          <w:rFonts w:ascii="Segoe UI" w:hAnsi="Segoe UI" w:eastAsia="Segoe UI" w:cs="Segoe UI"/>
          <w:b w:val="1"/>
          <w:bCs w:val="1"/>
          <w:i w:val="0"/>
          <w:iCs w:val="0"/>
          <w:caps w:val="0"/>
          <w:smallCaps w:val="0"/>
          <w:noProof w:val="0"/>
          <w:color w:val="1B587C" w:themeColor="accent1" w:themeTint="FF" w:themeShade="FF"/>
          <w:sz w:val="20"/>
          <w:szCs w:val="20"/>
          <w:lang w:val="en-US"/>
        </w:rPr>
        <w:t>Contact:</w:t>
      </w:r>
    </w:p>
    <w:p w:rsidRPr="00BF2EED" w:rsidR="008E2D3D" w:rsidP="7CA5013D" w:rsidRDefault="00BF2EED" w14:paraId="55FC97DC" w14:textId="3679BF42">
      <w:pPr>
        <w:spacing w:before="0" w:beforeAutospacing="0" w:after="0" w:afterAutospacing="0"/>
        <w:textAlignment w:val="baseline"/>
        <w:rPr>
          <w:rFonts w:ascii="Segoe UI" w:hAnsi="Segoe UI" w:eastAsia="Segoe UI" w:cs="Segoe UI"/>
          <w:b w:val="0"/>
          <w:bCs w:val="0"/>
          <w:i w:val="0"/>
          <w:iCs w:val="0"/>
          <w:caps w:val="0"/>
          <w:smallCaps w:val="0"/>
          <w:noProof w:val="0"/>
          <w:color w:val="000000" w:themeColor="text1" w:themeTint="FF" w:themeShade="FF"/>
          <w:sz w:val="20"/>
          <w:szCs w:val="20"/>
          <w:lang w:val="en-US"/>
        </w:rPr>
      </w:pPr>
      <w:r w:rsidRPr="7CA5013D" w:rsidR="050D07B2">
        <w:rPr>
          <w:rFonts w:ascii="Segoe UI" w:hAnsi="Segoe UI" w:eastAsia="Segoe UI" w:cs="Segoe UI"/>
          <w:b w:val="0"/>
          <w:bCs w:val="0"/>
          <w:i w:val="0"/>
          <w:iCs w:val="0"/>
          <w:caps w:val="0"/>
          <w:smallCaps w:val="0"/>
          <w:noProof w:val="0"/>
          <w:color w:val="000000" w:themeColor="text1" w:themeTint="FF" w:themeShade="FF"/>
          <w:sz w:val="20"/>
          <w:szCs w:val="20"/>
          <w:lang w:val="en-US"/>
        </w:rPr>
        <w:t>(</w:t>
      </w:r>
      <w:hyperlink r:id="R34ac71cfcf4542a8">
        <w:r w:rsidRPr="7CA5013D" w:rsidR="050D07B2">
          <w:rPr>
            <w:rStyle w:val="Hyperlink"/>
            <w:rFonts w:ascii="Segoe UI" w:hAnsi="Segoe UI" w:eastAsia="Segoe UI" w:cs="Segoe UI"/>
            <w:b w:val="0"/>
            <w:bCs w:val="0"/>
            <w:i w:val="0"/>
            <w:iCs w:val="0"/>
            <w:caps w:val="0"/>
            <w:smallCaps w:val="0"/>
            <w:strike w:val="0"/>
            <w:dstrike w:val="0"/>
            <w:noProof w:val="0"/>
            <w:sz w:val="20"/>
            <w:szCs w:val="20"/>
            <w:lang w:val="en-US"/>
          </w:rPr>
          <w:t>sales@ptr.inc</w:t>
        </w:r>
      </w:hyperlink>
      <w:r w:rsidRPr="7CA5013D" w:rsidR="050D07B2">
        <w:rPr>
          <w:rFonts w:ascii="Segoe UI" w:hAnsi="Segoe UI" w:eastAsia="Segoe UI" w:cs="Segoe UI"/>
          <w:b w:val="0"/>
          <w:bCs w:val="0"/>
          <w:i w:val="0"/>
          <w:iCs w:val="0"/>
          <w:caps w:val="0"/>
          <w:smallCaps w:val="0"/>
          <w:noProof w:val="0"/>
          <w:color w:val="000000" w:themeColor="text1" w:themeTint="FF" w:themeShade="FF"/>
          <w:sz w:val="20"/>
          <w:szCs w:val="20"/>
          <w:lang w:val="en-US"/>
        </w:rPr>
        <w:t>)</w:t>
      </w:r>
    </w:p>
    <w:sectPr w:rsidRPr="00BF2EED" w:rsidR="008E2D3D" w:rsidSect="001B6703">
      <w:headerReference w:type="default" r:id="rId17"/>
      <w:footerReference w:type="default" r:id="rId18"/>
      <w:pgSz w:w="12240" w:h="15840" w:orient="portrait"/>
      <w:pgMar w:top="720" w:right="720" w:bottom="720" w:left="720" w:header="720" w:footer="144" w:gutter="43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F7645" w:rsidP="00D62A60" w:rsidRDefault="005F7645" w14:paraId="7D8F383F" w14:textId="77777777">
      <w:pPr>
        <w:spacing w:after="0" w:line="240" w:lineRule="auto"/>
      </w:pPr>
      <w:r>
        <w:separator/>
      </w:r>
    </w:p>
  </w:endnote>
  <w:endnote w:type="continuationSeparator" w:id="0">
    <w:p w:rsidR="005F7645" w:rsidP="00D62A60" w:rsidRDefault="005F7645" w14:paraId="61F8FB64" w14:textId="77777777">
      <w:pPr>
        <w:spacing w:after="0" w:line="240" w:lineRule="auto"/>
      </w:pPr>
      <w:r>
        <w:continuationSeparator/>
      </w:r>
    </w:p>
  </w:endnote>
  <w:endnote w:type="continuationNotice" w:id="1">
    <w:p w:rsidR="005F7645" w:rsidRDefault="005F7645" w14:paraId="1D43A04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369E9" w:rsidRDefault="00C369E9" w14:paraId="2A6E08C4" w14:textId="77777777">
    <w:pPr>
      <w:pStyle w:val="Footer"/>
    </w:pPr>
  </w:p>
  <w:tbl>
    <w:tblPr>
      <w:tblStyle w:val="TableGrid"/>
      <w:tblW w:w="10358"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179"/>
      <w:gridCol w:w="5179"/>
    </w:tblGrid>
    <w:tr w:rsidR="00C369E9" w:rsidTr="00760073" w14:paraId="43B311E2" w14:textId="77777777">
      <w:trPr>
        <w:trHeight w:val="170"/>
      </w:trPr>
      <w:tc>
        <w:tcPr>
          <w:tcW w:w="5179" w:type="dxa"/>
          <w:vAlign w:val="center"/>
        </w:tcPr>
        <w:p w:rsidRPr="00760073" w:rsidR="00C369E9" w:rsidP="00760073" w:rsidRDefault="00C369E9" w14:paraId="5A531E0B" w14:textId="77777777">
          <w:pPr>
            <w:pStyle w:val="Footer"/>
            <w:rPr>
              <w:i/>
              <w:sz w:val="18"/>
            </w:rPr>
          </w:pPr>
          <w:r w:rsidRPr="00D62A60">
            <w:rPr>
              <w:rFonts w:cstheme="minorHAnsi"/>
              <w:i/>
              <w:sz w:val="18"/>
            </w:rPr>
            <w:t>©</w:t>
          </w:r>
          <w:r w:rsidRPr="00D62A60">
            <w:rPr>
              <w:i/>
              <w:sz w:val="18"/>
            </w:rPr>
            <w:t>P</w:t>
          </w:r>
          <w:r w:rsidR="00C46D64">
            <w:rPr>
              <w:i/>
              <w:sz w:val="18"/>
            </w:rPr>
            <w:t>TR Inc.</w:t>
          </w:r>
        </w:p>
      </w:tc>
      <w:tc>
        <w:tcPr>
          <w:tcW w:w="5179" w:type="dxa"/>
          <w:vAlign w:val="center"/>
        </w:tcPr>
        <w:p w:rsidR="00C369E9" w:rsidP="00760073" w:rsidRDefault="00C369E9" w14:paraId="41B479D7" w14:textId="77777777">
          <w:pPr>
            <w:pStyle w:val="Footer"/>
            <w:jc w:val="right"/>
          </w:pPr>
          <w:r>
            <w:rPr>
              <w:noProof/>
            </w:rPr>
            <w:drawing>
              <wp:inline distT="0" distB="0" distL="0" distR="0" wp14:anchorId="5A39DA53" wp14:editId="7879886D">
                <wp:extent cx="439522" cy="31172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rcRect t="2357" b="2357"/>
                        <a:stretch>
                          <a:fillRect/>
                        </a:stretch>
                      </pic:blipFill>
                      <pic:spPr bwMode="auto">
                        <a:xfrm>
                          <a:off x="0" y="0"/>
                          <a:ext cx="453049" cy="321315"/>
                        </a:xfrm>
                        <a:prstGeom prst="rect">
                          <a:avLst/>
                        </a:prstGeom>
                        <a:ln>
                          <a:noFill/>
                        </a:ln>
                        <a:extLst>
                          <a:ext uri="{53640926-AAD7-44D8-BBD7-CCE9431645EC}">
                            <a14:shadowObscured xmlns:a14="http://schemas.microsoft.com/office/drawing/2010/main"/>
                          </a:ext>
                        </a:extLst>
                      </pic:spPr>
                    </pic:pic>
                  </a:graphicData>
                </a:graphic>
              </wp:inline>
            </w:drawing>
          </w:r>
        </w:p>
      </w:tc>
    </w:tr>
  </w:tbl>
  <w:p w:rsidR="00C369E9" w:rsidP="00760073" w:rsidRDefault="00C369E9" w14:paraId="47C1F0B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F7645" w:rsidP="00D62A60" w:rsidRDefault="005F7645" w14:paraId="07827E9E" w14:textId="77777777">
      <w:pPr>
        <w:spacing w:after="0" w:line="240" w:lineRule="auto"/>
      </w:pPr>
      <w:r>
        <w:separator/>
      </w:r>
    </w:p>
  </w:footnote>
  <w:footnote w:type="continuationSeparator" w:id="0">
    <w:p w:rsidR="005F7645" w:rsidP="00D62A60" w:rsidRDefault="005F7645" w14:paraId="1BE6B3A3" w14:textId="77777777">
      <w:pPr>
        <w:spacing w:after="0" w:line="240" w:lineRule="auto"/>
      </w:pPr>
      <w:r>
        <w:continuationSeparator/>
      </w:r>
    </w:p>
  </w:footnote>
  <w:footnote w:type="continuationNotice" w:id="1">
    <w:p w:rsidR="005F7645" w:rsidRDefault="005F7645" w14:paraId="4276B9E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C369E9" w:rsidRDefault="000D1A85" w14:paraId="46C86EBF" w14:textId="77777777">
    <w:pPr>
      <w:pStyle w:val="Header"/>
    </w:pPr>
    <w:r>
      <w:rPr>
        <w:noProof/>
      </w:rPr>
      <mc:AlternateContent>
        <mc:Choice Requires="wps">
          <w:drawing>
            <wp:anchor distT="0" distB="0" distL="114300" distR="114300" simplePos="0" relativeHeight="251658241" behindDoc="0" locked="0" layoutInCell="0" allowOverlap="1" wp14:anchorId="3D2F1FC9" wp14:editId="53E33736">
              <wp:simplePos x="0" y="0"/>
              <wp:positionH relativeFrom="margin">
                <wp:posOffset>2106930</wp:posOffset>
              </wp:positionH>
              <wp:positionV relativeFrom="topMargin">
                <wp:posOffset>228600</wp:posOffset>
              </wp:positionV>
              <wp:extent cx="4480560" cy="186055"/>
              <wp:effectExtent l="0" t="0" r="0" b="698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056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001B98" w:rsidR="00C369E9" w:rsidP="00DD3D1A" w:rsidRDefault="00C92FFD" w14:paraId="6973BB7A" w14:textId="21B5CB9F">
                          <w:pPr>
                            <w:spacing w:after="0" w:line="240" w:lineRule="auto"/>
                            <w:jc w:val="right"/>
                            <w:rPr>
                              <w:rFonts w:ascii="Segoe UI" w:hAnsi="Segoe UI" w:eastAsia="Times New Roman" w:cs="Segoe UI"/>
                              <w:sz w:val="21"/>
                              <w:szCs w:val="21"/>
                            </w:rPr>
                          </w:pPr>
                          <w:r w:rsidRPr="00C92FFD">
                            <w:rPr>
                              <w:rFonts w:ascii="Segoe UI" w:hAnsi="Segoe UI" w:eastAsia="Times New Roman" w:cs="Segoe UI"/>
                              <w:sz w:val="21"/>
                              <w:szCs w:val="21"/>
                            </w:rPr>
                            <w:t>Harnessing the Sun: The Middle East’s Shift to Solar Power and Storage</w:t>
                          </w:r>
                        </w:p>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D2F1FC9">
              <v:stroke joinstyle="miter"/>
              <v:path gradientshapeok="t" o:connecttype="rect"/>
            </v:shapetype>
            <v:shape id="Text Box 220" style="position:absolute;margin-left:165.9pt;margin-top:18pt;width:352.8pt;height:14.6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page;v-text-anchor:middle" o:spid="_x0000_s1026" o:allowincell="f"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">
              <v:textbox style="mso-fit-shape-to-text:t" inset=",0,,0">
                <w:txbxContent>
                  <w:p w:rsidRPr="00001B98" w:rsidR="00C369E9" w:rsidP="00DD3D1A" w:rsidRDefault="00C92FFD" w14:paraId="6973BB7A" w14:textId="21B5CB9F">
                    <w:pPr>
                      <w:spacing w:after="0" w:line="240" w:lineRule="auto"/>
                      <w:jc w:val="right"/>
                      <w:rPr>
                        <w:rFonts w:ascii="Segoe UI" w:hAnsi="Segoe UI" w:eastAsia="Times New Roman" w:cs="Segoe UI"/>
                        <w:sz w:val="21"/>
                        <w:szCs w:val="21"/>
                      </w:rPr>
                    </w:pPr>
                    <w:r w:rsidRPr="00C92FFD">
                      <w:rPr>
                        <w:rFonts w:ascii="Segoe UI" w:hAnsi="Segoe UI" w:eastAsia="Times New Roman" w:cs="Segoe UI"/>
                        <w:sz w:val="21"/>
                        <w:szCs w:val="21"/>
                      </w:rPr>
                      <w:t>Harnessing the Sun: The Middle East’s Shift to Solar Power and Storage</w:t>
                    </w:r>
                  </w:p>
                </w:txbxContent>
              </v:textbox>
              <w10:wrap anchorx="margin" anchory="margin"/>
            </v:shape>
          </w:pict>
        </mc:Fallback>
      </mc:AlternateContent>
    </w:r>
    <w:r w:rsidR="00C369E9">
      <w:rPr>
        <w:noProof/>
      </w:rPr>
      <mc:AlternateContent>
        <mc:Choice Requires="wps">
          <w:drawing>
            <wp:anchor distT="0" distB="0" distL="114300" distR="114300" simplePos="0" relativeHeight="251658240" behindDoc="0" locked="0" layoutInCell="0" allowOverlap="1" wp14:anchorId="4ECA009D" wp14:editId="36865363">
              <wp:simplePos x="0" y="0"/>
              <wp:positionH relativeFrom="page">
                <wp:align>right</wp:align>
              </wp:positionH>
              <wp:positionV relativeFrom="topMargin">
                <wp:align>center</wp:align>
              </wp:positionV>
              <wp:extent cx="911860" cy="170815"/>
              <wp:effectExtent l="0" t="0" r="0" b="444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solidFill>
                      <a:ln>
                        <a:noFill/>
                      </a:ln>
                    </wps:spPr>
                    <wps:txbx>
                      <w:txbxContent>
                        <w:p w:rsidR="00C369E9" w:rsidRDefault="00C369E9" w14:paraId="57411938" w14:textId="77777777">
                          <w:pPr>
                            <w:spacing w:after="0" w:line="240" w:lineRule="auto"/>
                            <w:rPr>
                              <w:color w:val="FFFFFF" w:themeColor="background1"/>
                            </w:rPr>
                          </w:pPr>
                          <w:r>
                            <w:fldChar w:fldCharType="begin"/>
                          </w:r>
                          <w:r>
                            <w:instrText xml:space="preserve"> PAGE   \* MERGEFORMAT </w:instrText>
                          </w:r>
                          <w:r>
                            <w:fldChar w:fldCharType="separate"/>
                          </w:r>
                          <w:r w:rsidRPr="00384526" w:rsidR="00384526">
                            <w:rPr>
                              <w:noProof/>
                              <w:color w:val="FFFFFF" w:themeColor="background1"/>
                            </w:rPr>
                            <w:t>2</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Text Box 221" style="position:absolute;margin-left:20.6pt;margin-top:0;width:71.8pt;height:13.45pt;z-index:251658240;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spid="_x0000_s1027" o:allowincell="f" fillcolor="#484746 [3209]"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" w14:anchorId="4ECA009D">
              <v:textbox style="mso-fit-shape-to-text:t" inset=",0,,0">
                <w:txbxContent>
                  <w:p w:rsidR="00C369E9" w:rsidRDefault="00C369E9" w14:paraId="57411938" w14:textId="77777777">
                    <w:pPr>
                      <w:spacing w:after="0" w:line="240" w:lineRule="auto"/>
                      <w:rPr>
                        <w:color w:val="FFFFFF" w:themeColor="background1"/>
                      </w:rPr>
                    </w:pPr>
                    <w:r>
                      <w:fldChar w:fldCharType="begin"/>
                    </w:r>
                    <w:r>
                      <w:instrText xml:space="preserve"> PAGE   \* MERGEFORMAT </w:instrText>
                    </w:r>
                    <w:r>
                      <w:fldChar w:fldCharType="separate"/>
                    </w:r>
                    <w:r w:rsidRPr="00384526" w:rsidR="00384526">
                      <w:rPr>
                        <w:noProof/>
                        <w:color w:val="FFFFFF" w:themeColor="background1"/>
                      </w:rPr>
                      <w:t>2</w:t>
                    </w:r>
                    <w:r>
                      <w:rPr>
                        <w:noProof/>
                        <w:color w:val="FFFFFF" w:themeColor="background1"/>
                      </w:rPr>
                      <w:fldChar w:fldCharType="end"/>
                    </w:r>
                  </w:p>
                </w:txbxContent>
              </v:textbox>
              <w10:wrap anchorx="page" anchory="margin"/>
            </v:shape>
          </w:pict>
        </mc:Fallback>
      </mc:AlternateContent>
    </w:r>
  </w:p>
</w:hdr>
</file>

<file path=word/intelligence2.xml><?xml version="1.0" encoding="utf-8"?>
<int2:intelligence xmlns:int2="http://schemas.microsoft.com/office/intelligence/2020/intelligence">
  <int2:observations>
    <int2:textHash int2:hashCode="Dgx4xy1CFbzL5K" int2:id="oERzNCUc">
      <int2:state int2:type="AugLoop_Text_Critique" int2:value="Rejected"/>
    </int2:textHash>
    <int2:bookmark int2:bookmarkName="_Int_CTKXSnmj" int2:invalidationBookmarkName="" int2:hashCode="uvESVyZOofLpOn" int2:id="FOjzNbd3">
      <int2:state int2:type="AugLoop_Text_Critique" int2:value="Rejected"/>
    </int2:bookmark>
    <int2:bookmark int2:bookmarkName="_Int_IJJRgXcS" int2:invalidationBookmarkName="" int2:hashCode="eKUDxPARxdsQsS" int2:id="dUqccSVv">
      <int2:state int2:type="AugLoop_Text_Critique" int2:value="Rejected"/>
    </int2:bookmark>
    <int2:bookmark int2:bookmarkName="_Int_Z8Kl6sbA" int2:invalidationBookmarkName="" int2:hashCode="w8hop9xQNpSwc5" int2:id="1crxHkIb">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609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8763AA5"/>
    <w:multiLevelType w:val="multilevel"/>
    <w:tmpl w:val="E766F880"/>
    <w:numStyleLink w:val="MultilevelHeading"/>
  </w:abstractNum>
  <w:abstractNum w:abstractNumId="2" w15:restartNumberingAfterBreak="0">
    <w:nsid w:val="087A545F"/>
    <w:multiLevelType w:val="hybridMultilevel"/>
    <w:tmpl w:val="F770478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8AC600E"/>
    <w:multiLevelType w:val="hybridMultilevel"/>
    <w:tmpl w:val="A0CE97C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957744B"/>
    <w:multiLevelType w:val="hybridMultilevel"/>
    <w:tmpl w:val="73DAE7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FCA7121"/>
    <w:multiLevelType w:val="hybridMultilevel"/>
    <w:tmpl w:val="8A9AAE62"/>
    <w:lvl w:ilvl="0" w:tplc="4C090001">
      <w:start w:val="1"/>
      <w:numFmt w:val="bullet"/>
      <w:lvlText w:val=""/>
      <w:lvlJc w:val="left"/>
      <w:pPr>
        <w:ind w:left="720" w:hanging="360"/>
      </w:pPr>
      <w:rPr>
        <w:rFonts w:hint="default" w:ascii="Symbol" w:hAnsi="Symbol"/>
      </w:rPr>
    </w:lvl>
    <w:lvl w:ilvl="1" w:tplc="4C090003" w:tentative="1">
      <w:start w:val="1"/>
      <w:numFmt w:val="bullet"/>
      <w:lvlText w:val="o"/>
      <w:lvlJc w:val="left"/>
      <w:pPr>
        <w:ind w:left="1440" w:hanging="360"/>
      </w:pPr>
      <w:rPr>
        <w:rFonts w:hint="default" w:ascii="Courier New" w:hAnsi="Courier New" w:cs="Courier New"/>
      </w:rPr>
    </w:lvl>
    <w:lvl w:ilvl="2" w:tplc="4C090005" w:tentative="1">
      <w:start w:val="1"/>
      <w:numFmt w:val="bullet"/>
      <w:lvlText w:val=""/>
      <w:lvlJc w:val="left"/>
      <w:pPr>
        <w:ind w:left="2160" w:hanging="360"/>
      </w:pPr>
      <w:rPr>
        <w:rFonts w:hint="default" w:ascii="Wingdings" w:hAnsi="Wingdings"/>
      </w:rPr>
    </w:lvl>
    <w:lvl w:ilvl="3" w:tplc="4C090001" w:tentative="1">
      <w:start w:val="1"/>
      <w:numFmt w:val="bullet"/>
      <w:lvlText w:val=""/>
      <w:lvlJc w:val="left"/>
      <w:pPr>
        <w:ind w:left="2880" w:hanging="360"/>
      </w:pPr>
      <w:rPr>
        <w:rFonts w:hint="default" w:ascii="Symbol" w:hAnsi="Symbol"/>
      </w:rPr>
    </w:lvl>
    <w:lvl w:ilvl="4" w:tplc="4C090003" w:tentative="1">
      <w:start w:val="1"/>
      <w:numFmt w:val="bullet"/>
      <w:lvlText w:val="o"/>
      <w:lvlJc w:val="left"/>
      <w:pPr>
        <w:ind w:left="3600" w:hanging="360"/>
      </w:pPr>
      <w:rPr>
        <w:rFonts w:hint="default" w:ascii="Courier New" w:hAnsi="Courier New" w:cs="Courier New"/>
      </w:rPr>
    </w:lvl>
    <w:lvl w:ilvl="5" w:tplc="4C090005" w:tentative="1">
      <w:start w:val="1"/>
      <w:numFmt w:val="bullet"/>
      <w:lvlText w:val=""/>
      <w:lvlJc w:val="left"/>
      <w:pPr>
        <w:ind w:left="4320" w:hanging="360"/>
      </w:pPr>
      <w:rPr>
        <w:rFonts w:hint="default" w:ascii="Wingdings" w:hAnsi="Wingdings"/>
      </w:rPr>
    </w:lvl>
    <w:lvl w:ilvl="6" w:tplc="4C090001" w:tentative="1">
      <w:start w:val="1"/>
      <w:numFmt w:val="bullet"/>
      <w:lvlText w:val=""/>
      <w:lvlJc w:val="left"/>
      <w:pPr>
        <w:ind w:left="5040" w:hanging="360"/>
      </w:pPr>
      <w:rPr>
        <w:rFonts w:hint="default" w:ascii="Symbol" w:hAnsi="Symbol"/>
      </w:rPr>
    </w:lvl>
    <w:lvl w:ilvl="7" w:tplc="4C090003" w:tentative="1">
      <w:start w:val="1"/>
      <w:numFmt w:val="bullet"/>
      <w:lvlText w:val="o"/>
      <w:lvlJc w:val="left"/>
      <w:pPr>
        <w:ind w:left="5760" w:hanging="360"/>
      </w:pPr>
      <w:rPr>
        <w:rFonts w:hint="default" w:ascii="Courier New" w:hAnsi="Courier New" w:cs="Courier New"/>
      </w:rPr>
    </w:lvl>
    <w:lvl w:ilvl="8" w:tplc="4C090005" w:tentative="1">
      <w:start w:val="1"/>
      <w:numFmt w:val="bullet"/>
      <w:lvlText w:val=""/>
      <w:lvlJc w:val="left"/>
      <w:pPr>
        <w:ind w:left="6480" w:hanging="360"/>
      </w:pPr>
      <w:rPr>
        <w:rFonts w:hint="default" w:ascii="Wingdings" w:hAnsi="Wingdings"/>
      </w:rPr>
    </w:lvl>
  </w:abstractNum>
  <w:abstractNum w:abstractNumId="6" w15:restartNumberingAfterBreak="0">
    <w:nsid w:val="10B1090B"/>
    <w:multiLevelType w:val="multilevel"/>
    <w:tmpl w:val="1FD20EBC"/>
    <w:lvl w:ilvl="0">
      <w:start w:val="1"/>
      <w:numFmt w:val="decimal"/>
      <w:lvlText w:val="%1."/>
      <w:lvlJc w:val="left"/>
      <w:pPr>
        <w:ind w:left="432" w:hanging="432"/>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432" w:hanging="432"/>
      </w:pPr>
      <w:rPr>
        <w:rFonts w:hint="default"/>
      </w:rPr>
    </w:lvl>
    <w:lvl w:ilvl="3">
      <w:start w:val="1"/>
      <w:numFmt w:val="none"/>
      <w:lvlText w:val=""/>
      <w:lvlJc w:val="left"/>
      <w:pPr>
        <w:ind w:left="432" w:hanging="432"/>
      </w:pPr>
      <w:rPr>
        <w:rFonts w:hint="default"/>
      </w:rPr>
    </w:lvl>
    <w:lvl w:ilvl="4">
      <w:start w:val="1"/>
      <w:numFmt w:val="none"/>
      <w:lvlText w:val=""/>
      <w:lvlJc w:val="left"/>
      <w:pPr>
        <w:ind w:left="432" w:hanging="432"/>
      </w:pPr>
      <w:rPr>
        <w:rFonts w:hint="default"/>
      </w:rPr>
    </w:lvl>
    <w:lvl w:ilvl="5">
      <w:start w:val="1"/>
      <w:numFmt w:val="none"/>
      <w:lvlText w:val=""/>
      <w:lvlJc w:val="left"/>
      <w:pPr>
        <w:ind w:left="432" w:hanging="432"/>
      </w:pPr>
      <w:rPr>
        <w:rFonts w:hint="default"/>
      </w:rPr>
    </w:lvl>
    <w:lvl w:ilvl="6">
      <w:start w:val="1"/>
      <w:numFmt w:val="none"/>
      <w:lvlText w:val=""/>
      <w:lvlJc w:val="left"/>
      <w:pPr>
        <w:ind w:left="432" w:hanging="432"/>
      </w:pPr>
      <w:rPr>
        <w:rFonts w:hint="default"/>
      </w:rPr>
    </w:lvl>
    <w:lvl w:ilvl="7">
      <w:start w:val="1"/>
      <w:numFmt w:val="none"/>
      <w:lvlText w:val=""/>
      <w:lvlJc w:val="left"/>
      <w:pPr>
        <w:ind w:left="432" w:hanging="432"/>
      </w:pPr>
      <w:rPr>
        <w:rFonts w:hint="default"/>
      </w:rPr>
    </w:lvl>
    <w:lvl w:ilvl="8">
      <w:start w:val="1"/>
      <w:numFmt w:val="none"/>
      <w:lvlText w:val=""/>
      <w:lvlJc w:val="left"/>
      <w:pPr>
        <w:ind w:left="432" w:hanging="432"/>
      </w:pPr>
      <w:rPr>
        <w:rFonts w:hint="default"/>
      </w:rPr>
    </w:lvl>
  </w:abstractNum>
  <w:abstractNum w:abstractNumId="7" w15:restartNumberingAfterBreak="0">
    <w:nsid w:val="13584AF2"/>
    <w:multiLevelType w:val="hybridMultilevel"/>
    <w:tmpl w:val="ECFE58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377613D"/>
    <w:multiLevelType w:val="multilevel"/>
    <w:tmpl w:val="E766F880"/>
    <w:styleLink w:val="MultilevelHeading"/>
    <w:lvl w:ilvl="0">
      <w:start w:val="1"/>
      <w:numFmt w:val="decimal"/>
      <w:lvlText w:val="%1"/>
      <w:lvlJc w:val="left"/>
      <w:pPr>
        <w:ind w:left="432" w:hanging="432"/>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432" w:hanging="432"/>
      </w:pPr>
      <w:rPr>
        <w:rFonts w:hint="default"/>
      </w:rPr>
    </w:lvl>
    <w:lvl w:ilvl="3">
      <w:start w:val="1"/>
      <w:numFmt w:val="none"/>
      <w:lvlText w:val=""/>
      <w:lvlJc w:val="left"/>
      <w:pPr>
        <w:ind w:left="432" w:hanging="432"/>
      </w:pPr>
      <w:rPr>
        <w:rFonts w:hint="default"/>
      </w:rPr>
    </w:lvl>
    <w:lvl w:ilvl="4">
      <w:start w:val="1"/>
      <w:numFmt w:val="none"/>
      <w:lvlText w:val=""/>
      <w:lvlJc w:val="left"/>
      <w:pPr>
        <w:ind w:left="432" w:hanging="432"/>
      </w:pPr>
      <w:rPr>
        <w:rFonts w:hint="default"/>
      </w:rPr>
    </w:lvl>
    <w:lvl w:ilvl="5">
      <w:start w:val="1"/>
      <w:numFmt w:val="none"/>
      <w:lvlText w:val=""/>
      <w:lvlJc w:val="left"/>
      <w:pPr>
        <w:ind w:left="432" w:hanging="432"/>
      </w:pPr>
      <w:rPr>
        <w:rFonts w:hint="default"/>
      </w:rPr>
    </w:lvl>
    <w:lvl w:ilvl="6">
      <w:start w:val="1"/>
      <w:numFmt w:val="none"/>
      <w:lvlText w:val=""/>
      <w:lvlJc w:val="left"/>
      <w:pPr>
        <w:ind w:left="432" w:hanging="432"/>
      </w:pPr>
      <w:rPr>
        <w:rFonts w:hint="default"/>
      </w:rPr>
    </w:lvl>
    <w:lvl w:ilvl="7">
      <w:start w:val="1"/>
      <w:numFmt w:val="none"/>
      <w:lvlText w:val=""/>
      <w:lvlJc w:val="left"/>
      <w:pPr>
        <w:ind w:left="432" w:hanging="432"/>
      </w:pPr>
      <w:rPr>
        <w:rFonts w:hint="default"/>
      </w:rPr>
    </w:lvl>
    <w:lvl w:ilvl="8">
      <w:start w:val="1"/>
      <w:numFmt w:val="none"/>
      <w:lvlText w:val=""/>
      <w:lvlJc w:val="left"/>
      <w:pPr>
        <w:ind w:left="432" w:hanging="432"/>
      </w:pPr>
      <w:rPr>
        <w:rFonts w:hint="default"/>
      </w:rPr>
    </w:lvl>
  </w:abstractNum>
  <w:abstractNum w:abstractNumId="9" w15:restartNumberingAfterBreak="0">
    <w:nsid w:val="16F604EA"/>
    <w:multiLevelType w:val="hybridMultilevel"/>
    <w:tmpl w:val="7D8CE1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8314A60"/>
    <w:multiLevelType w:val="multilevel"/>
    <w:tmpl w:val="029697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1C7B462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E5567ED"/>
    <w:multiLevelType w:val="hybridMultilevel"/>
    <w:tmpl w:val="7EA2765C"/>
    <w:lvl w:ilvl="0" w:tplc="4C090001">
      <w:start w:val="1"/>
      <w:numFmt w:val="bullet"/>
      <w:lvlText w:val=""/>
      <w:lvlJc w:val="left"/>
      <w:pPr>
        <w:ind w:left="720" w:hanging="360"/>
      </w:pPr>
      <w:rPr>
        <w:rFonts w:hint="default" w:ascii="Symbol" w:hAnsi="Symbol"/>
      </w:rPr>
    </w:lvl>
    <w:lvl w:ilvl="1" w:tplc="4C090003" w:tentative="1">
      <w:start w:val="1"/>
      <w:numFmt w:val="bullet"/>
      <w:lvlText w:val="o"/>
      <w:lvlJc w:val="left"/>
      <w:pPr>
        <w:ind w:left="1440" w:hanging="360"/>
      </w:pPr>
      <w:rPr>
        <w:rFonts w:hint="default" w:ascii="Courier New" w:hAnsi="Courier New" w:cs="Courier New"/>
      </w:rPr>
    </w:lvl>
    <w:lvl w:ilvl="2" w:tplc="4C090005" w:tentative="1">
      <w:start w:val="1"/>
      <w:numFmt w:val="bullet"/>
      <w:lvlText w:val=""/>
      <w:lvlJc w:val="left"/>
      <w:pPr>
        <w:ind w:left="2160" w:hanging="360"/>
      </w:pPr>
      <w:rPr>
        <w:rFonts w:hint="default" w:ascii="Wingdings" w:hAnsi="Wingdings"/>
      </w:rPr>
    </w:lvl>
    <w:lvl w:ilvl="3" w:tplc="4C090001" w:tentative="1">
      <w:start w:val="1"/>
      <w:numFmt w:val="bullet"/>
      <w:lvlText w:val=""/>
      <w:lvlJc w:val="left"/>
      <w:pPr>
        <w:ind w:left="2880" w:hanging="360"/>
      </w:pPr>
      <w:rPr>
        <w:rFonts w:hint="default" w:ascii="Symbol" w:hAnsi="Symbol"/>
      </w:rPr>
    </w:lvl>
    <w:lvl w:ilvl="4" w:tplc="4C090003" w:tentative="1">
      <w:start w:val="1"/>
      <w:numFmt w:val="bullet"/>
      <w:lvlText w:val="o"/>
      <w:lvlJc w:val="left"/>
      <w:pPr>
        <w:ind w:left="3600" w:hanging="360"/>
      </w:pPr>
      <w:rPr>
        <w:rFonts w:hint="default" w:ascii="Courier New" w:hAnsi="Courier New" w:cs="Courier New"/>
      </w:rPr>
    </w:lvl>
    <w:lvl w:ilvl="5" w:tplc="4C090005" w:tentative="1">
      <w:start w:val="1"/>
      <w:numFmt w:val="bullet"/>
      <w:lvlText w:val=""/>
      <w:lvlJc w:val="left"/>
      <w:pPr>
        <w:ind w:left="4320" w:hanging="360"/>
      </w:pPr>
      <w:rPr>
        <w:rFonts w:hint="default" w:ascii="Wingdings" w:hAnsi="Wingdings"/>
      </w:rPr>
    </w:lvl>
    <w:lvl w:ilvl="6" w:tplc="4C090001" w:tentative="1">
      <w:start w:val="1"/>
      <w:numFmt w:val="bullet"/>
      <w:lvlText w:val=""/>
      <w:lvlJc w:val="left"/>
      <w:pPr>
        <w:ind w:left="5040" w:hanging="360"/>
      </w:pPr>
      <w:rPr>
        <w:rFonts w:hint="default" w:ascii="Symbol" w:hAnsi="Symbol"/>
      </w:rPr>
    </w:lvl>
    <w:lvl w:ilvl="7" w:tplc="4C090003" w:tentative="1">
      <w:start w:val="1"/>
      <w:numFmt w:val="bullet"/>
      <w:lvlText w:val="o"/>
      <w:lvlJc w:val="left"/>
      <w:pPr>
        <w:ind w:left="5760" w:hanging="360"/>
      </w:pPr>
      <w:rPr>
        <w:rFonts w:hint="default" w:ascii="Courier New" w:hAnsi="Courier New" w:cs="Courier New"/>
      </w:rPr>
    </w:lvl>
    <w:lvl w:ilvl="8" w:tplc="4C090005" w:tentative="1">
      <w:start w:val="1"/>
      <w:numFmt w:val="bullet"/>
      <w:lvlText w:val=""/>
      <w:lvlJc w:val="left"/>
      <w:pPr>
        <w:ind w:left="6480" w:hanging="360"/>
      </w:pPr>
      <w:rPr>
        <w:rFonts w:hint="default" w:ascii="Wingdings" w:hAnsi="Wingdings"/>
      </w:rPr>
    </w:lvl>
  </w:abstractNum>
  <w:abstractNum w:abstractNumId="13" w15:restartNumberingAfterBreak="0">
    <w:nsid w:val="29B7070C"/>
    <w:multiLevelType w:val="multilevel"/>
    <w:tmpl w:val="EDF694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30741427"/>
    <w:multiLevelType w:val="hybridMultilevel"/>
    <w:tmpl w:val="B93A83F8"/>
    <w:lvl w:ilvl="0" w:tplc="4C090001">
      <w:start w:val="1"/>
      <w:numFmt w:val="bullet"/>
      <w:lvlText w:val=""/>
      <w:lvlJc w:val="left"/>
      <w:pPr>
        <w:ind w:left="720" w:hanging="360"/>
      </w:pPr>
      <w:rPr>
        <w:rFonts w:hint="default" w:ascii="Symbol" w:hAnsi="Symbol"/>
      </w:rPr>
    </w:lvl>
    <w:lvl w:ilvl="1" w:tplc="4C090003" w:tentative="1">
      <w:start w:val="1"/>
      <w:numFmt w:val="bullet"/>
      <w:lvlText w:val="o"/>
      <w:lvlJc w:val="left"/>
      <w:pPr>
        <w:ind w:left="1440" w:hanging="360"/>
      </w:pPr>
      <w:rPr>
        <w:rFonts w:hint="default" w:ascii="Courier New" w:hAnsi="Courier New" w:cs="Courier New"/>
      </w:rPr>
    </w:lvl>
    <w:lvl w:ilvl="2" w:tplc="4C090005" w:tentative="1">
      <w:start w:val="1"/>
      <w:numFmt w:val="bullet"/>
      <w:lvlText w:val=""/>
      <w:lvlJc w:val="left"/>
      <w:pPr>
        <w:ind w:left="2160" w:hanging="360"/>
      </w:pPr>
      <w:rPr>
        <w:rFonts w:hint="default" w:ascii="Wingdings" w:hAnsi="Wingdings"/>
      </w:rPr>
    </w:lvl>
    <w:lvl w:ilvl="3" w:tplc="4C090001" w:tentative="1">
      <w:start w:val="1"/>
      <w:numFmt w:val="bullet"/>
      <w:lvlText w:val=""/>
      <w:lvlJc w:val="left"/>
      <w:pPr>
        <w:ind w:left="2880" w:hanging="360"/>
      </w:pPr>
      <w:rPr>
        <w:rFonts w:hint="default" w:ascii="Symbol" w:hAnsi="Symbol"/>
      </w:rPr>
    </w:lvl>
    <w:lvl w:ilvl="4" w:tplc="4C090003" w:tentative="1">
      <w:start w:val="1"/>
      <w:numFmt w:val="bullet"/>
      <w:lvlText w:val="o"/>
      <w:lvlJc w:val="left"/>
      <w:pPr>
        <w:ind w:left="3600" w:hanging="360"/>
      </w:pPr>
      <w:rPr>
        <w:rFonts w:hint="default" w:ascii="Courier New" w:hAnsi="Courier New" w:cs="Courier New"/>
      </w:rPr>
    </w:lvl>
    <w:lvl w:ilvl="5" w:tplc="4C090005" w:tentative="1">
      <w:start w:val="1"/>
      <w:numFmt w:val="bullet"/>
      <w:lvlText w:val=""/>
      <w:lvlJc w:val="left"/>
      <w:pPr>
        <w:ind w:left="4320" w:hanging="360"/>
      </w:pPr>
      <w:rPr>
        <w:rFonts w:hint="default" w:ascii="Wingdings" w:hAnsi="Wingdings"/>
      </w:rPr>
    </w:lvl>
    <w:lvl w:ilvl="6" w:tplc="4C090001" w:tentative="1">
      <w:start w:val="1"/>
      <w:numFmt w:val="bullet"/>
      <w:lvlText w:val=""/>
      <w:lvlJc w:val="left"/>
      <w:pPr>
        <w:ind w:left="5040" w:hanging="360"/>
      </w:pPr>
      <w:rPr>
        <w:rFonts w:hint="default" w:ascii="Symbol" w:hAnsi="Symbol"/>
      </w:rPr>
    </w:lvl>
    <w:lvl w:ilvl="7" w:tplc="4C090003" w:tentative="1">
      <w:start w:val="1"/>
      <w:numFmt w:val="bullet"/>
      <w:lvlText w:val="o"/>
      <w:lvlJc w:val="left"/>
      <w:pPr>
        <w:ind w:left="5760" w:hanging="360"/>
      </w:pPr>
      <w:rPr>
        <w:rFonts w:hint="default" w:ascii="Courier New" w:hAnsi="Courier New" w:cs="Courier New"/>
      </w:rPr>
    </w:lvl>
    <w:lvl w:ilvl="8" w:tplc="4C090005" w:tentative="1">
      <w:start w:val="1"/>
      <w:numFmt w:val="bullet"/>
      <w:lvlText w:val=""/>
      <w:lvlJc w:val="left"/>
      <w:pPr>
        <w:ind w:left="6480" w:hanging="360"/>
      </w:pPr>
      <w:rPr>
        <w:rFonts w:hint="default" w:ascii="Wingdings" w:hAnsi="Wingdings"/>
      </w:rPr>
    </w:lvl>
  </w:abstractNum>
  <w:abstractNum w:abstractNumId="15" w15:restartNumberingAfterBreak="0">
    <w:nsid w:val="33D117FE"/>
    <w:multiLevelType w:val="multilevel"/>
    <w:tmpl w:val="3844E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487663B"/>
    <w:multiLevelType w:val="multilevel"/>
    <w:tmpl w:val="7460095C"/>
    <w:lvl w:ilvl="0">
      <w:start w:val="1"/>
      <w:numFmt w:val="bullet"/>
      <w:lvlText w:val=""/>
      <w:lvlJc w:val="left"/>
      <w:pPr>
        <w:ind w:left="360" w:hanging="360"/>
      </w:pPr>
      <w:rPr>
        <w:rFonts w:hint="default" w:ascii="Symbol" w:hAnsi="Symbo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4FC64ED"/>
    <w:multiLevelType w:val="multilevel"/>
    <w:tmpl w:val="7460095C"/>
    <w:lvl w:ilvl="0">
      <w:start w:val="1"/>
      <w:numFmt w:val="bullet"/>
      <w:lvlText w:val=""/>
      <w:lvlJc w:val="left"/>
      <w:pPr>
        <w:ind w:left="360" w:hanging="360"/>
      </w:pPr>
      <w:rPr>
        <w:rFonts w:hint="default" w:ascii="Symbol" w:hAnsi="Symbo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1B21A8D"/>
    <w:multiLevelType w:val="hybridMultilevel"/>
    <w:tmpl w:val="B3FA1BC4"/>
    <w:lvl w:ilvl="0" w:tplc="4C090001">
      <w:start w:val="1"/>
      <w:numFmt w:val="bullet"/>
      <w:lvlText w:val=""/>
      <w:lvlJc w:val="left"/>
      <w:pPr>
        <w:ind w:left="720" w:hanging="360"/>
      </w:pPr>
      <w:rPr>
        <w:rFonts w:hint="default" w:ascii="Symbol" w:hAnsi="Symbol"/>
      </w:rPr>
    </w:lvl>
    <w:lvl w:ilvl="1" w:tplc="4C090003" w:tentative="1">
      <w:start w:val="1"/>
      <w:numFmt w:val="bullet"/>
      <w:lvlText w:val="o"/>
      <w:lvlJc w:val="left"/>
      <w:pPr>
        <w:ind w:left="1440" w:hanging="360"/>
      </w:pPr>
      <w:rPr>
        <w:rFonts w:hint="default" w:ascii="Courier New" w:hAnsi="Courier New" w:cs="Courier New"/>
      </w:rPr>
    </w:lvl>
    <w:lvl w:ilvl="2" w:tplc="4C090005" w:tentative="1">
      <w:start w:val="1"/>
      <w:numFmt w:val="bullet"/>
      <w:lvlText w:val=""/>
      <w:lvlJc w:val="left"/>
      <w:pPr>
        <w:ind w:left="2160" w:hanging="360"/>
      </w:pPr>
      <w:rPr>
        <w:rFonts w:hint="default" w:ascii="Wingdings" w:hAnsi="Wingdings"/>
      </w:rPr>
    </w:lvl>
    <w:lvl w:ilvl="3" w:tplc="4C090001" w:tentative="1">
      <w:start w:val="1"/>
      <w:numFmt w:val="bullet"/>
      <w:lvlText w:val=""/>
      <w:lvlJc w:val="left"/>
      <w:pPr>
        <w:ind w:left="2880" w:hanging="360"/>
      </w:pPr>
      <w:rPr>
        <w:rFonts w:hint="default" w:ascii="Symbol" w:hAnsi="Symbol"/>
      </w:rPr>
    </w:lvl>
    <w:lvl w:ilvl="4" w:tplc="4C090003" w:tentative="1">
      <w:start w:val="1"/>
      <w:numFmt w:val="bullet"/>
      <w:lvlText w:val="o"/>
      <w:lvlJc w:val="left"/>
      <w:pPr>
        <w:ind w:left="3600" w:hanging="360"/>
      </w:pPr>
      <w:rPr>
        <w:rFonts w:hint="default" w:ascii="Courier New" w:hAnsi="Courier New" w:cs="Courier New"/>
      </w:rPr>
    </w:lvl>
    <w:lvl w:ilvl="5" w:tplc="4C090005" w:tentative="1">
      <w:start w:val="1"/>
      <w:numFmt w:val="bullet"/>
      <w:lvlText w:val=""/>
      <w:lvlJc w:val="left"/>
      <w:pPr>
        <w:ind w:left="4320" w:hanging="360"/>
      </w:pPr>
      <w:rPr>
        <w:rFonts w:hint="default" w:ascii="Wingdings" w:hAnsi="Wingdings"/>
      </w:rPr>
    </w:lvl>
    <w:lvl w:ilvl="6" w:tplc="4C090001" w:tentative="1">
      <w:start w:val="1"/>
      <w:numFmt w:val="bullet"/>
      <w:lvlText w:val=""/>
      <w:lvlJc w:val="left"/>
      <w:pPr>
        <w:ind w:left="5040" w:hanging="360"/>
      </w:pPr>
      <w:rPr>
        <w:rFonts w:hint="default" w:ascii="Symbol" w:hAnsi="Symbol"/>
      </w:rPr>
    </w:lvl>
    <w:lvl w:ilvl="7" w:tplc="4C090003" w:tentative="1">
      <w:start w:val="1"/>
      <w:numFmt w:val="bullet"/>
      <w:lvlText w:val="o"/>
      <w:lvlJc w:val="left"/>
      <w:pPr>
        <w:ind w:left="5760" w:hanging="360"/>
      </w:pPr>
      <w:rPr>
        <w:rFonts w:hint="default" w:ascii="Courier New" w:hAnsi="Courier New" w:cs="Courier New"/>
      </w:rPr>
    </w:lvl>
    <w:lvl w:ilvl="8" w:tplc="4C090005" w:tentative="1">
      <w:start w:val="1"/>
      <w:numFmt w:val="bullet"/>
      <w:lvlText w:val=""/>
      <w:lvlJc w:val="left"/>
      <w:pPr>
        <w:ind w:left="6480" w:hanging="360"/>
      </w:pPr>
      <w:rPr>
        <w:rFonts w:hint="default" w:ascii="Wingdings" w:hAnsi="Wingdings"/>
      </w:rPr>
    </w:lvl>
  </w:abstractNum>
  <w:abstractNum w:abstractNumId="19" w15:restartNumberingAfterBreak="0">
    <w:nsid w:val="44BD37DB"/>
    <w:multiLevelType w:val="hybridMultilevel"/>
    <w:tmpl w:val="922C38F0"/>
    <w:lvl w:ilvl="0" w:tplc="4C090001">
      <w:start w:val="1"/>
      <w:numFmt w:val="bullet"/>
      <w:lvlText w:val=""/>
      <w:lvlJc w:val="left"/>
      <w:pPr>
        <w:ind w:left="720" w:hanging="360"/>
      </w:pPr>
      <w:rPr>
        <w:rFonts w:hint="default" w:ascii="Symbol" w:hAnsi="Symbol"/>
      </w:rPr>
    </w:lvl>
    <w:lvl w:ilvl="1" w:tplc="4C090003" w:tentative="1">
      <w:start w:val="1"/>
      <w:numFmt w:val="bullet"/>
      <w:lvlText w:val="o"/>
      <w:lvlJc w:val="left"/>
      <w:pPr>
        <w:ind w:left="1440" w:hanging="360"/>
      </w:pPr>
      <w:rPr>
        <w:rFonts w:hint="default" w:ascii="Courier New" w:hAnsi="Courier New" w:cs="Courier New"/>
      </w:rPr>
    </w:lvl>
    <w:lvl w:ilvl="2" w:tplc="4C090005" w:tentative="1">
      <w:start w:val="1"/>
      <w:numFmt w:val="bullet"/>
      <w:lvlText w:val=""/>
      <w:lvlJc w:val="left"/>
      <w:pPr>
        <w:ind w:left="2160" w:hanging="360"/>
      </w:pPr>
      <w:rPr>
        <w:rFonts w:hint="default" w:ascii="Wingdings" w:hAnsi="Wingdings"/>
      </w:rPr>
    </w:lvl>
    <w:lvl w:ilvl="3" w:tplc="4C090001" w:tentative="1">
      <w:start w:val="1"/>
      <w:numFmt w:val="bullet"/>
      <w:lvlText w:val=""/>
      <w:lvlJc w:val="left"/>
      <w:pPr>
        <w:ind w:left="2880" w:hanging="360"/>
      </w:pPr>
      <w:rPr>
        <w:rFonts w:hint="default" w:ascii="Symbol" w:hAnsi="Symbol"/>
      </w:rPr>
    </w:lvl>
    <w:lvl w:ilvl="4" w:tplc="4C090003" w:tentative="1">
      <w:start w:val="1"/>
      <w:numFmt w:val="bullet"/>
      <w:lvlText w:val="o"/>
      <w:lvlJc w:val="left"/>
      <w:pPr>
        <w:ind w:left="3600" w:hanging="360"/>
      </w:pPr>
      <w:rPr>
        <w:rFonts w:hint="default" w:ascii="Courier New" w:hAnsi="Courier New" w:cs="Courier New"/>
      </w:rPr>
    </w:lvl>
    <w:lvl w:ilvl="5" w:tplc="4C090005" w:tentative="1">
      <w:start w:val="1"/>
      <w:numFmt w:val="bullet"/>
      <w:lvlText w:val=""/>
      <w:lvlJc w:val="left"/>
      <w:pPr>
        <w:ind w:left="4320" w:hanging="360"/>
      </w:pPr>
      <w:rPr>
        <w:rFonts w:hint="default" w:ascii="Wingdings" w:hAnsi="Wingdings"/>
      </w:rPr>
    </w:lvl>
    <w:lvl w:ilvl="6" w:tplc="4C090001" w:tentative="1">
      <w:start w:val="1"/>
      <w:numFmt w:val="bullet"/>
      <w:lvlText w:val=""/>
      <w:lvlJc w:val="left"/>
      <w:pPr>
        <w:ind w:left="5040" w:hanging="360"/>
      </w:pPr>
      <w:rPr>
        <w:rFonts w:hint="default" w:ascii="Symbol" w:hAnsi="Symbol"/>
      </w:rPr>
    </w:lvl>
    <w:lvl w:ilvl="7" w:tplc="4C090003" w:tentative="1">
      <w:start w:val="1"/>
      <w:numFmt w:val="bullet"/>
      <w:lvlText w:val="o"/>
      <w:lvlJc w:val="left"/>
      <w:pPr>
        <w:ind w:left="5760" w:hanging="360"/>
      </w:pPr>
      <w:rPr>
        <w:rFonts w:hint="default" w:ascii="Courier New" w:hAnsi="Courier New" w:cs="Courier New"/>
      </w:rPr>
    </w:lvl>
    <w:lvl w:ilvl="8" w:tplc="4C090005" w:tentative="1">
      <w:start w:val="1"/>
      <w:numFmt w:val="bullet"/>
      <w:lvlText w:val=""/>
      <w:lvlJc w:val="left"/>
      <w:pPr>
        <w:ind w:left="6480" w:hanging="360"/>
      </w:pPr>
      <w:rPr>
        <w:rFonts w:hint="default" w:ascii="Wingdings" w:hAnsi="Wingdings"/>
      </w:rPr>
    </w:lvl>
  </w:abstractNum>
  <w:abstractNum w:abstractNumId="20" w15:restartNumberingAfterBreak="0">
    <w:nsid w:val="489E0C86"/>
    <w:multiLevelType w:val="multilevel"/>
    <w:tmpl w:val="49EA0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26703D1"/>
    <w:multiLevelType w:val="hybridMultilevel"/>
    <w:tmpl w:val="15D8798C"/>
    <w:lvl w:ilvl="0" w:tplc="04090001">
      <w:start w:val="1"/>
      <w:numFmt w:val="bullet"/>
      <w:lvlText w:val=""/>
      <w:lvlJc w:val="left"/>
      <w:pPr>
        <w:ind w:left="1080" w:hanging="360"/>
      </w:pPr>
      <w:rPr>
        <w:rFonts w:hint="default" w:ascii="Symbol" w:hAnsi="Symbo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4574509"/>
    <w:multiLevelType w:val="hybridMultilevel"/>
    <w:tmpl w:val="6E36882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5FBD1628"/>
    <w:multiLevelType w:val="multilevel"/>
    <w:tmpl w:val="1FD20EBC"/>
    <w:lvl w:ilvl="0">
      <w:start w:val="1"/>
      <w:numFmt w:val="decimal"/>
      <w:lvlText w:val="%1."/>
      <w:lvlJc w:val="left"/>
      <w:pPr>
        <w:ind w:left="432" w:hanging="432"/>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432" w:hanging="432"/>
      </w:pPr>
      <w:rPr>
        <w:rFonts w:hint="default"/>
      </w:rPr>
    </w:lvl>
    <w:lvl w:ilvl="3">
      <w:start w:val="1"/>
      <w:numFmt w:val="none"/>
      <w:lvlText w:val=""/>
      <w:lvlJc w:val="left"/>
      <w:pPr>
        <w:ind w:left="432" w:hanging="432"/>
      </w:pPr>
      <w:rPr>
        <w:rFonts w:hint="default"/>
      </w:rPr>
    </w:lvl>
    <w:lvl w:ilvl="4">
      <w:start w:val="1"/>
      <w:numFmt w:val="none"/>
      <w:lvlText w:val=""/>
      <w:lvlJc w:val="left"/>
      <w:pPr>
        <w:ind w:left="432" w:hanging="432"/>
      </w:pPr>
      <w:rPr>
        <w:rFonts w:hint="default"/>
      </w:rPr>
    </w:lvl>
    <w:lvl w:ilvl="5">
      <w:start w:val="1"/>
      <w:numFmt w:val="none"/>
      <w:lvlText w:val=""/>
      <w:lvlJc w:val="left"/>
      <w:pPr>
        <w:ind w:left="432" w:hanging="432"/>
      </w:pPr>
      <w:rPr>
        <w:rFonts w:hint="default"/>
      </w:rPr>
    </w:lvl>
    <w:lvl w:ilvl="6">
      <w:start w:val="1"/>
      <w:numFmt w:val="none"/>
      <w:lvlText w:val=""/>
      <w:lvlJc w:val="left"/>
      <w:pPr>
        <w:ind w:left="432" w:hanging="432"/>
      </w:pPr>
      <w:rPr>
        <w:rFonts w:hint="default"/>
      </w:rPr>
    </w:lvl>
    <w:lvl w:ilvl="7">
      <w:start w:val="1"/>
      <w:numFmt w:val="none"/>
      <w:lvlText w:val=""/>
      <w:lvlJc w:val="left"/>
      <w:pPr>
        <w:ind w:left="432" w:hanging="432"/>
      </w:pPr>
      <w:rPr>
        <w:rFonts w:hint="default"/>
      </w:rPr>
    </w:lvl>
    <w:lvl w:ilvl="8">
      <w:start w:val="1"/>
      <w:numFmt w:val="none"/>
      <w:lvlText w:val=""/>
      <w:lvlJc w:val="left"/>
      <w:pPr>
        <w:ind w:left="432" w:hanging="432"/>
      </w:pPr>
      <w:rPr>
        <w:rFonts w:hint="default"/>
      </w:rPr>
    </w:lvl>
  </w:abstractNum>
  <w:abstractNum w:abstractNumId="24" w15:restartNumberingAfterBreak="0">
    <w:nsid w:val="61A70CF3"/>
    <w:multiLevelType w:val="multilevel"/>
    <w:tmpl w:val="69A69E7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68EF6E0D"/>
    <w:multiLevelType w:val="hybridMultilevel"/>
    <w:tmpl w:val="6FBCF086"/>
    <w:lvl w:ilvl="0" w:tplc="4C090001">
      <w:start w:val="1"/>
      <w:numFmt w:val="bullet"/>
      <w:lvlText w:val=""/>
      <w:lvlJc w:val="left"/>
      <w:pPr>
        <w:ind w:left="720" w:hanging="360"/>
      </w:pPr>
      <w:rPr>
        <w:rFonts w:hint="default" w:ascii="Symbol" w:hAnsi="Symbol"/>
      </w:rPr>
    </w:lvl>
    <w:lvl w:ilvl="1" w:tplc="4C090003" w:tentative="1">
      <w:start w:val="1"/>
      <w:numFmt w:val="bullet"/>
      <w:lvlText w:val="o"/>
      <w:lvlJc w:val="left"/>
      <w:pPr>
        <w:ind w:left="1440" w:hanging="360"/>
      </w:pPr>
      <w:rPr>
        <w:rFonts w:hint="default" w:ascii="Courier New" w:hAnsi="Courier New" w:cs="Courier New"/>
      </w:rPr>
    </w:lvl>
    <w:lvl w:ilvl="2" w:tplc="4C090005" w:tentative="1">
      <w:start w:val="1"/>
      <w:numFmt w:val="bullet"/>
      <w:lvlText w:val=""/>
      <w:lvlJc w:val="left"/>
      <w:pPr>
        <w:ind w:left="2160" w:hanging="360"/>
      </w:pPr>
      <w:rPr>
        <w:rFonts w:hint="default" w:ascii="Wingdings" w:hAnsi="Wingdings"/>
      </w:rPr>
    </w:lvl>
    <w:lvl w:ilvl="3" w:tplc="4C090001" w:tentative="1">
      <w:start w:val="1"/>
      <w:numFmt w:val="bullet"/>
      <w:lvlText w:val=""/>
      <w:lvlJc w:val="left"/>
      <w:pPr>
        <w:ind w:left="2880" w:hanging="360"/>
      </w:pPr>
      <w:rPr>
        <w:rFonts w:hint="default" w:ascii="Symbol" w:hAnsi="Symbol"/>
      </w:rPr>
    </w:lvl>
    <w:lvl w:ilvl="4" w:tplc="4C090003" w:tentative="1">
      <w:start w:val="1"/>
      <w:numFmt w:val="bullet"/>
      <w:lvlText w:val="o"/>
      <w:lvlJc w:val="left"/>
      <w:pPr>
        <w:ind w:left="3600" w:hanging="360"/>
      </w:pPr>
      <w:rPr>
        <w:rFonts w:hint="default" w:ascii="Courier New" w:hAnsi="Courier New" w:cs="Courier New"/>
      </w:rPr>
    </w:lvl>
    <w:lvl w:ilvl="5" w:tplc="4C090005" w:tentative="1">
      <w:start w:val="1"/>
      <w:numFmt w:val="bullet"/>
      <w:lvlText w:val=""/>
      <w:lvlJc w:val="left"/>
      <w:pPr>
        <w:ind w:left="4320" w:hanging="360"/>
      </w:pPr>
      <w:rPr>
        <w:rFonts w:hint="default" w:ascii="Wingdings" w:hAnsi="Wingdings"/>
      </w:rPr>
    </w:lvl>
    <w:lvl w:ilvl="6" w:tplc="4C090001" w:tentative="1">
      <w:start w:val="1"/>
      <w:numFmt w:val="bullet"/>
      <w:lvlText w:val=""/>
      <w:lvlJc w:val="left"/>
      <w:pPr>
        <w:ind w:left="5040" w:hanging="360"/>
      </w:pPr>
      <w:rPr>
        <w:rFonts w:hint="default" w:ascii="Symbol" w:hAnsi="Symbol"/>
      </w:rPr>
    </w:lvl>
    <w:lvl w:ilvl="7" w:tplc="4C090003" w:tentative="1">
      <w:start w:val="1"/>
      <w:numFmt w:val="bullet"/>
      <w:lvlText w:val="o"/>
      <w:lvlJc w:val="left"/>
      <w:pPr>
        <w:ind w:left="5760" w:hanging="360"/>
      </w:pPr>
      <w:rPr>
        <w:rFonts w:hint="default" w:ascii="Courier New" w:hAnsi="Courier New" w:cs="Courier New"/>
      </w:rPr>
    </w:lvl>
    <w:lvl w:ilvl="8" w:tplc="4C090005" w:tentative="1">
      <w:start w:val="1"/>
      <w:numFmt w:val="bullet"/>
      <w:lvlText w:val=""/>
      <w:lvlJc w:val="left"/>
      <w:pPr>
        <w:ind w:left="6480" w:hanging="360"/>
      </w:pPr>
      <w:rPr>
        <w:rFonts w:hint="default" w:ascii="Wingdings" w:hAnsi="Wingdings"/>
      </w:rPr>
    </w:lvl>
  </w:abstractNum>
  <w:abstractNum w:abstractNumId="26" w15:restartNumberingAfterBreak="0">
    <w:nsid w:val="6B532B84"/>
    <w:multiLevelType w:val="multilevel"/>
    <w:tmpl w:val="E766F880"/>
    <w:numStyleLink w:val="MultilevelHeading"/>
  </w:abstractNum>
  <w:abstractNum w:abstractNumId="27" w15:restartNumberingAfterBreak="0">
    <w:nsid w:val="6C915868"/>
    <w:multiLevelType w:val="hybridMultilevel"/>
    <w:tmpl w:val="98D473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163C0D"/>
    <w:multiLevelType w:val="multilevel"/>
    <w:tmpl w:val="E766F880"/>
    <w:numStyleLink w:val="MultilevelHeading"/>
  </w:abstractNum>
  <w:abstractNum w:abstractNumId="29" w15:restartNumberingAfterBreak="0">
    <w:nsid w:val="75AD44DC"/>
    <w:multiLevelType w:val="hybridMultilevel"/>
    <w:tmpl w:val="C74C51A8"/>
    <w:lvl w:ilvl="0" w:tplc="4C090001">
      <w:start w:val="1"/>
      <w:numFmt w:val="bullet"/>
      <w:lvlText w:val=""/>
      <w:lvlJc w:val="left"/>
      <w:pPr>
        <w:ind w:left="720" w:hanging="360"/>
      </w:pPr>
      <w:rPr>
        <w:rFonts w:hint="default" w:ascii="Symbol" w:hAnsi="Symbol"/>
      </w:rPr>
    </w:lvl>
    <w:lvl w:ilvl="1" w:tplc="4C090003" w:tentative="1">
      <w:start w:val="1"/>
      <w:numFmt w:val="bullet"/>
      <w:lvlText w:val="o"/>
      <w:lvlJc w:val="left"/>
      <w:pPr>
        <w:ind w:left="1440" w:hanging="360"/>
      </w:pPr>
      <w:rPr>
        <w:rFonts w:hint="default" w:ascii="Courier New" w:hAnsi="Courier New" w:cs="Courier New"/>
      </w:rPr>
    </w:lvl>
    <w:lvl w:ilvl="2" w:tplc="4C090005" w:tentative="1">
      <w:start w:val="1"/>
      <w:numFmt w:val="bullet"/>
      <w:lvlText w:val=""/>
      <w:lvlJc w:val="left"/>
      <w:pPr>
        <w:ind w:left="2160" w:hanging="360"/>
      </w:pPr>
      <w:rPr>
        <w:rFonts w:hint="default" w:ascii="Wingdings" w:hAnsi="Wingdings"/>
      </w:rPr>
    </w:lvl>
    <w:lvl w:ilvl="3" w:tplc="4C090001" w:tentative="1">
      <w:start w:val="1"/>
      <w:numFmt w:val="bullet"/>
      <w:lvlText w:val=""/>
      <w:lvlJc w:val="left"/>
      <w:pPr>
        <w:ind w:left="2880" w:hanging="360"/>
      </w:pPr>
      <w:rPr>
        <w:rFonts w:hint="default" w:ascii="Symbol" w:hAnsi="Symbol"/>
      </w:rPr>
    </w:lvl>
    <w:lvl w:ilvl="4" w:tplc="4C090003" w:tentative="1">
      <w:start w:val="1"/>
      <w:numFmt w:val="bullet"/>
      <w:lvlText w:val="o"/>
      <w:lvlJc w:val="left"/>
      <w:pPr>
        <w:ind w:left="3600" w:hanging="360"/>
      </w:pPr>
      <w:rPr>
        <w:rFonts w:hint="default" w:ascii="Courier New" w:hAnsi="Courier New" w:cs="Courier New"/>
      </w:rPr>
    </w:lvl>
    <w:lvl w:ilvl="5" w:tplc="4C090005" w:tentative="1">
      <w:start w:val="1"/>
      <w:numFmt w:val="bullet"/>
      <w:lvlText w:val=""/>
      <w:lvlJc w:val="left"/>
      <w:pPr>
        <w:ind w:left="4320" w:hanging="360"/>
      </w:pPr>
      <w:rPr>
        <w:rFonts w:hint="default" w:ascii="Wingdings" w:hAnsi="Wingdings"/>
      </w:rPr>
    </w:lvl>
    <w:lvl w:ilvl="6" w:tplc="4C090001" w:tentative="1">
      <w:start w:val="1"/>
      <w:numFmt w:val="bullet"/>
      <w:lvlText w:val=""/>
      <w:lvlJc w:val="left"/>
      <w:pPr>
        <w:ind w:left="5040" w:hanging="360"/>
      </w:pPr>
      <w:rPr>
        <w:rFonts w:hint="default" w:ascii="Symbol" w:hAnsi="Symbol"/>
      </w:rPr>
    </w:lvl>
    <w:lvl w:ilvl="7" w:tplc="4C090003" w:tentative="1">
      <w:start w:val="1"/>
      <w:numFmt w:val="bullet"/>
      <w:lvlText w:val="o"/>
      <w:lvlJc w:val="left"/>
      <w:pPr>
        <w:ind w:left="5760" w:hanging="360"/>
      </w:pPr>
      <w:rPr>
        <w:rFonts w:hint="default" w:ascii="Courier New" w:hAnsi="Courier New" w:cs="Courier New"/>
      </w:rPr>
    </w:lvl>
    <w:lvl w:ilvl="8" w:tplc="4C090005" w:tentative="1">
      <w:start w:val="1"/>
      <w:numFmt w:val="bullet"/>
      <w:lvlText w:val=""/>
      <w:lvlJc w:val="left"/>
      <w:pPr>
        <w:ind w:left="6480" w:hanging="360"/>
      </w:pPr>
      <w:rPr>
        <w:rFonts w:hint="default" w:ascii="Wingdings" w:hAnsi="Wingdings"/>
      </w:rPr>
    </w:lvl>
  </w:abstractNum>
  <w:num w:numId="1" w16cid:durableId="1705137637">
    <w:abstractNumId w:val="24"/>
  </w:num>
  <w:num w:numId="2" w16cid:durableId="469977522">
    <w:abstractNumId w:val="8"/>
  </w:num>
  <w:num w:numId="3" w16cid:durableId="1450783860">
    <w:abstractNumId w:val="28"/>
  </w:num>
  <w:num w:numId="4" w16cid:durableId="1761364464">
    <w:abstractNumId w:val="0"/>
  </w:num>
  <w:num w:numId="5" w16cid:durableId="518081707">
    <w:abstractNumId w:val="11"/>
  </w:num>
  <w:num w:numId="6" w16cid:durableId="2096633419">
    <w:abstractNumId w:val="26"/>
  </w:num>
  <w:num w:numId="7" w16cid:durableId="1091269057">
    <w:abstractNumId w:val="2"/>
  </w:num>
  <w:num w:numId="8" w16cid:durableId="190191746">
    <w:abstractNumId w:val="1"/>
  </w:num>
  <w:num w:numId="9" w16cid:durableId="567618888">
    <w:abstractNumId w:val="6"/>
  </w:num>
  <w:num w:numId="10" w16cid:durableId="1609313963">
    <w:abstractNumId w:val="23"/>
  </w:num>
  <w:num w:numId="11" w16cid:durableId="634603981">
    <w:abstractNumId w:val="22"/>
  </w:num>
  <w:num w:numId="12" w16cid:durableId="800268123">
    <w:abstractNumId w:val="16"/>
  </w:num>
  <w:num w:numId="13" w16cid:durableId="187374273">
    <w:abstractNumId w:val="27"/>
  </w:num>
  <w:num w:numId="14" w16cid:durableId="128741993">
    <w:abstractNumId w:val="21"/>
  </w:num>
  <w:num w:numId="15" w16cid:durableId="173030804">
    <w:abstractNumId w:val="3"/>
  </w:num>
  <w:num w:numId="16" w16cid:durableId="1414085214">
    <w:abstractNumId w:val="7"/>
  </w:num>
  <w:num w:numId="17" w16cid:durableId="1557012462">
    <w:abstractNumId w:val="17"/>
  </w:num>
  <w:num w:numId="18" w16cid:durableId="2082680283">
    <w:abstractNumId w:val="4"/>
  </w:num>
  <w:num w:numId="19" w16cid:durableId="646981065">
    <w:abstractNumId w:val="9"/>
  </w:num>
  <w:num w:numId="20" w16cid:durableId="2031107597">
    <w:abstractNumId w:val="18"/>
  </w:num>
  <w:num w:numId="21" w16cid:durableId="988245331">
    <w:abstractNumId w:val="25"/>
  </w:num>
  <w:num w:numId="22" w16cid:durableId="2127387924">
    <w:abstractNumId w:val="12"/>
  </w:num>
  <w:num w:numId="23" w16cid:durableId="335378820">
    <w:abstractNumId w:val="5"/>
  </w:num>
  <w:num w:numId="24" w16cid:durableId="1551765115">
    <w:abstractNumId w:val="14"/>
  </w:num>
  <w:num w:numId="25" w16cid:durableId="567762859">
    <w:abstractNumId w:val="29"/>
  </w:num>
  <w:num w:numId="26" w16cid:durableId="367603899">
    <w:abstractNumId w:val="19"/>
  </w:num>
  <w:num w:numId="27" w16cid:durableId="1526553404">
    <w:abstractNumId w:val="15"/>
  </w:num>
  <w:num w:numId="28" w16cid:durableId="893080642">
    <w:abstractNumId w:val="20"/>
  </w:num>
  <w:num w:numId="29" w16cid:durableId="1880780624">
    <w:abstractNumId w:val="10"/>
  </w:num>
  <w:num w:numId="30" w16cid:durableId="6879457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S0MDI1tjCxMAZyTJR0lIJTi4sz8/NACkxqASi6/DssAAAA"/>
  </w:docVars>
  <w:rsids>
    <w:rsidRoot w:val="00561A23"/>
    <w:rsid w:val="000005D1"/>
    <w:rsid w:val="00001B98"/>
    <w:rsid w:val="00001F30"/>
    <w:rsid w:val="00004C8B"/>
    <w:rsid w:val="000059CB"/>
    <w:rsid w:val="00010254"/>
    <w:rsid w:val="00013733"/>
    <w:rsid w:val="00014712"/>
    <w:rsid w:val="00017122"/>
    <w:rsid w:val="00024378"/>
    <w:rsid w:val="00024753"/>
    <w:rsid w:val="0004420F"/>
    <w:rsid w:val="00047217"/>
    <w:rsid w:val="00047DD5"/>
    <w:rsid w:val="000521DB"/>
    <w:rsid w:val="00052F0B"/>
    <w:rsid w:val="00056022"/>
    <w:rsid w:val="000560B8"/>
    <w:rsid w:val="00057666"/>
    <w:rsid w:val="00063FCD"/>
    <w:rsid w:val="00064607"/>
    <w:rsid w:val="00066F3D"/>
    <w:rsid w:val="00075D37"/>
    <w:rsid w:val="00076527"/>
    <w:rsid w:val="00086601"/>
    <w:rsid w:val="000A415E"/>
    <w:rsid w:val="000A4441"/>
    <w:rsid w:val="000A5BAD"/>
    <w:rsid w:val="000B33E6"/>
    <w:rsid w:val="000B6FE1"/>
    <w:rsid w:val="000B7430"/>
    <w:rsid w:val="000C05E0"/>
    <w:rsid w:val="000C07B5"/>
    <w:rsid w:val="000C2B8A"/>
    <w:rsid w:val="000C3717"/>
    <w:rsid w:val="000C57A2"/>
    <w:rsid w:val="000D1186"/>
    <w:rsid w:val="000D16D5"/>
    <w:rsid w:val="000D1A85"/>
    <w:rsid w:val="000D643A"/>
    <w:rsid w:val="000E31CD"/>
    <w:rsid w:val="000E63F2"/>
    <w:rsid w:val="000E69DC"/>
    <w:rsid w:val="000F0977"/>
    <w:rsid w:val="000F5B73"/>
    <w:rsid w:val="000F6C4F"/>
    <w:rsid w:val="000F77F3"/>
    <w:rsid w:val="00100AEF"/>
    <w:rsid w:val="00102821"/>
    <w:rsid w:val="00105970"/>
    <w:rsid w:val="001067AE"/>
    <w:rsid w:val="00106FEE"/>
    <w:rsid w:val="001109D9"/>
    <w:rsid w:val="00110A63"/>
    <w:rsid w:val="00113040"/>
    <w:rsid w:val="001166DA"/>
    <w:rsid w:val="0012160F"/>
    <w:rsid w:val="0012421E"/>
    <w:rsid w:val="001266F2"/>
    <w:rsid w:val="00136E6F"/>
    <w:rsid w:val="001403E7"/>
    <w:rsid w:val="00153A75"/>
    <w:rsid w:val="00156485"/>
    <w:rsid w:val="00173E12"/>
    <w:rsid w:val="00176811"/>
    <w:rsid w:val="00182823"/>
    <w:rsid w:val="001842BF"/>
    <w:rsid w:val="00184BE3"/>
    <w:rsid w:val="00192D86"/>
    <w:rsid w:val="00192F30"/>
    <w:rsid w:val="001A1FF1"/>
    <w:rsid w:val="001B2A37"/>
    <w:rsid w:val="001B2E02"/>
    <w:rsid w:val="001B6703"/>
    <w:rsid w:val="001C026D"/>
    <w:rsid w:val="001C0853"/>
    <w:rsid w:val="001C58C7"/>
    <w:rsid w:val="001C7C29"/>
    <w:rsid w:val="001D3184"/>
    <w:rsid w:val="001D5C5F"/>
    <w:rsid w:val="001F39E0"/>
    <w:rsid w:val="00203B59"/>
    <w:rsid w:val="00207701"/>
    <w:rsid w:val="0021228C"/>
    <w:rsid w:val="00217980"/>
    <w:rsid w:val="0022569A"/>
    <w:rsid w:val="00226BE7"/>
    <w:rsid w:val="002303C8"/>
    <w:rsid w:val="00234DA7"/>
    <w:rsid w:val="00240C9F"/>
    <w:rsid w:val="00240E85"/>
    <w:rsid w:val="00241E08"/>
    <w:rsid w:val="002433CA"/>
    <w:rsid w:val="002433F7"/>
    <w:rsid w:val="002469CF"/>
    <w:rsid w:val="00252D33"/>
    <w:rsid w:val="0025446B"/>
    <w:rsid w:val="002577D3"/>
    <w:rsid w:val="00257868"/>
    <w:rsid w:val="002607B2"/>
    <w:rsid w:val="00260B17"/>
    <w:rsid w:val="00260F6F"/>
    <w:rsid w:val="002613D2"/>
    <w:rsid w:val="00262C9F"/>
    <w:rsid w:val="0027186C"/>
    <w:rsid w:val="00271A9F"/>
    <w:rsid w:val="002757CB"/>
    <w:rsid w:val="00276057"/>
    <w:rsid w:val="0027691C"/>
    <w:rsid w:val="00284F78"/>
    <w:rsid w:val="00295092"/>
    <w:rsid w:val="002957C2"/>
    <w:rsid w:val="0029680E"/>
    <w:rsid w:val="00296C52"/>
    <w:rsid w:val="002A157E"/>
    <w:rsid w:val="002B162E"/>
    <w:rsid w:val="002B4F30"/>
    <w:rsid w:val="002B5CB8"/>
    <w:rsid w:val="002B6F61"/>
    <w:rsid w:val="002B7ABB"/>
    <w:rsid w:val="002C0CCC"/>
    <w:rsid w:val="002C1A3D"/>
    <w:rsid w:val="002C219E"/>
    <w:rsid w:val="002C6DDB"/>
    <w:rsid w:val="002D2742"/>
    <w:rsid w:val="002E5DDA"/>
    <w:rsid w:val="002E7BF6"/>
    <w:rsid w:val="002E7D03"/>
    <w:rsid w:val="002F26F9"/>
    <w:rsid w:val="002F3B60"/>
    <w:rsid w:val="002F5DBA"/>
    <w:rsid w:val="00302BAD"/>
    <w:rsid w:val="00305E03"/>
    <w:rsid w:val="0030609B"/>
    <w:rsid w:val="003107DA"/>
    <w:rsid w:val="00313091"/>
    <w:rsid w:val="00315494"/>
    <w:rsid w:val="0031792C"/>
    <w:rsid w:val="0032045A"/>
    <w:rsid w:val="00327B21"/>
    <w:rsid w:val="00331456"/>
    <w:rsid w:val="00331D11"/>
    <w:rsid w:val="003413EF"/>
    <w:rsid w:val="0034264B"/>
    <w:rsid w:val="00344F4C"/>
    <w:rsid w:val="003514CF"/>
    <w:rsid w:val="00351DD8"/>
    <w:rsid w:val="00354692"/>
    <w:rsid w:val="0036426F"/>
    <w:rsid w:val="00365ADF"/>
    <w:rsid w:val="003714B8"/>
    <w:rsid w:val="00373E09"/>
    <w:rsid w:val="00376242"/>
    <w:rsid w:val="00376CB5"/>
    <w:rsid w:val="00380492"/>
    <w:rsid w:val="00383652"/>
    <w:rsid w:val="00384526"/>
    <w:rsid w:val="003939AD"/>
    <w:rsid w:val="003A289C"/>
    <w:rsid w:val="003A4616"/>
    <w:rsid w:val="003C2E0B"/>
    <w:rsid w:val="003C2E42"/>
    <w:rsid w:val="003C4D83"/>
    <w:rsid w:val="003D13E1"/>
    <w:rsid w:val="003D31A5"/>
    <w:rsid w:val="003D3F9E"/>
    <w:rsid w:val="003E0545"/>
    <w:rsid w:val="003E42F1"/>
    <w:rsid w:val="003E7B03"/>
    <w:rsid w:val="003F04AA"/>
    <w:rsid w:val="003F260F"/>
    <w:rsid w:val="003F353C"/>
    <w:rsid w:val="00416373"/>
    <w:rsid w:val="004166F0"/>
    <w:rsid w:val="00421646"/>
    <w:rsid w:val="0043345A"/>
    <w:rsid w:val="0044010C"/>
    <w:rsid w:val="00440566"/>
    <w:rsid w:val="00441136"/>
    <w:rsid w:val="00446667"/>
    <w:rsid w:val="00455E30"/>
    <w:rsid w:val="00456BB7"/>
    <w:rsid w:val="00465F10"/>
    <w:rsid w:val="00467555"/>
    <w:rsid w:val="004767F7"/>
    <w:rsid w:val="00483719"/>
    <w:rsid w:val="0048477B"/>
    <w:rsid w:val="00485B96"/>
    <w:rsid w:val="00487CE8"/>
    <w:rsid w:val="00490351"/>
    <w:rsid w:val="00490E57"/>
    <w:rsid w:val="00493BC8"/>
    <w:rsid w:val="00493F29"/>
    <w:rsid w:val="00496F9A"/>
    <w:rsid w:val="004A0D0E"/>
    <w:rsid w:val="004A45C7"/>
    <w:rsid w:val="004A5B8E"/>
    <w:rsid w:val="004B0801"/>
    <w:rsid w:val="004B26C0"/>
    <w:rsid w:val="004B2DED"/>
    <w:rsid w:val="004E151C"/>
    <w:rsid w:val="004E1C1B"/>
    <w:rsid w:val="004F16D8"/>
    <w:rsid w:val="004F2413"/>
    <w:rsid w:val="004F601C"/>
    <w:rsid w:val="004F7DDD"/>
    <w:rsid w:val="00501620"/>
    <w:rsid w:val="00503EB6"/>
    <w:rsid w:val="0050689C"/>
    <w:rsid w:val="005115DF"/>
    <w:rsid w:val="00512657"/>
    <w:rsid w:val="005204D9"/>
    <w:rsid w:val="005225C5"/>
    <w:rsid w:val="00522841"/>
    <w:rsid w:val="00526847"/>
    <w:rsid w:val="00533047"/>
    <w:rsid w:val="005350B8"/>
    <w:rsid w:val="0053572C"/>
    <w:rsid w:val="00544477"/>
    <w:rsid w:val="00545905"/>
    <w:rsid w:val="00551267"/>
    <w:rsid w:val="00551538"/>
    <w:rsid w:val="00554F7A"/>
    <w:rsid w:val="00557644"/>
    <w:rsid w:val="00557A4F"/>
    <w:rsid w:val="00561A23"/>
    <w:rsid w:val="0057022F"/>
    <w:rsid w:val="005815B4"/>
    <w:rsid w:val="0058563A"/>
    <w:rsid w:val="005877EF"/>
    <w:rsid w:val="00592F3E"/>
    <w:rsid w:val="0059312C"/>
    <w:rsid w:val="005940C1"/>
    <w:rsid w:val="00595AC9"/>
    <w:rsid w:val="005A0BA5"/>
    <w:rsid w:val="005A1247"/>
    <w:rsid w:val="005A250A"/>
    <w:rsid w:val="005A6C72"/>
    <w:rsid w:val="005B2F76"/>
    <w:rsid w:val="005B6649"/>
    <w:rsid w:val="005C196D"/>
    <w:rsid w:val="005C234E"/>
    <w:rsid w:val="005C4686"/>
    <w:rsid w:val="005D11BA"/>
    <w:rsid w:val="005D6215"/>
    <w:rsid w:val="005D7867"/>
    <w:rsid w:val="005E1A16"/>
    <w:rsid w:val="005E5A95"/>
    <w:rsid w:val="005E7945"/>
    <w:rsid w:val="005F7645"/>
    <w:rsid w:val="00601666"/>
    <w:rsid w:val="00603862"/>
    <w:rsid w:val="00604765"/>
    <w:rsid w:val="006078CD"/>
    <w:rsid w:val="0061039B"/>
    <w:rsid w:val="00612F23"/>
    <w:rsid w:val="006172D4"/>
    <w:rsid w:val="00617BC0"/>
    <w:rsid w:val="00620328"/>
    <w:rsid w:val="006236FD"/>
    <w:rsid w:val="00625DF7"/>
    <w:rsid w:val="00631A86"/>
    <w:rsid w:val="00640699"/>
    <w:rsid w:val="00645727"/>
    <w:rsid w:val="00650031"/>
    <w:rsid w:val="00654632"/>
    <w:rsid w:val="00654A8C"/>
    <w:rsid w:val="00657663"/>
    <w:rsid w:val="00660EDD"/>
    <w:rsid w:val="006642BE"/>
    <w:rsid w:val="00664F8C"/>
    <w:rsid w:val="006652B8"/>
    <w:rsid w:val="00665554"/>
    <w:rsid w:val="00681808"/>
    <w:rsid w:val="0068526B"/>
    <w:rsid w:val="00691538"/>
    <w:rsid w:val="00691C75"/>
    <w:rsid w:val="00692EE6"/>
    <w:rsid w:val="006946E0"/>
    <w:rsid w:val="00695A39"/>
    <w:rsid w:val="00696478"/>
    <w:rsid w:val="006971B2"/>
    <w:rsid w:val="006A05CA"/>
    <w:rsid w:val="006A0A01"/>
    <w:rsid w:val="006A3B25"/>
    <w:rsid w:val="006A4885"/>
    <w:rsid w:val="006B0D96"/>
    <w:rsid w:val="006C01DB"/>
    <w:rsid w:val="006D3A4F"/>
    <w:rsid w:val="006D6AE3"/>
    <w:rsid w:val="006E1BC9"/>
    <w:rsid w:val="006E1F13"/>
    <w:rsid w:val="006E20B2"/>
    <w:rsid w:val="006E225D"/>
    <w:rsid w:val="006E258C"/>
    <w:rsid w:val="006E6E7C"/>
    <w:rsid w:val="006F0240"/>
    <w:rsid w:val="006F2770"/>
    <w:rsid w:val="006F61FB"/>
    <w:rsid w:val="00700957"/>
    <w:rsid w:val="00702CF0"/>
    <w:rsid w:val="0072682B"/>
    <w:rsid w:val="007339FB"/>
    <w:rsid w:val="00747CF0"/>
    <w:rsid w:val="00755BEC"/>
    <w:rsid w:val="00760073"/>
    <w:rsid w:val="00761D90"/>
    <w:rsid w:val="00766063"/>
    <w:rsid w:val="007711A5"/>
    <w:rsid w:val="0077123B"/>
    <w:rsid w:val="00771A9B"/>
    <w:rsid w:val="007777CB"/>
    <w:rsid w:val="00784512"/>
    <w:rsid w:val="00785434"/>
    <w:rsid w:val="0078551E"/>
    <w:rsid w:val="007B02E7"/>
    <w:rsid w:val="007B26C9"/>
    <w:rsid w:val="007C2231"/>
    <w:rsid w:val="007C719E"/>
    <w:rsid w:val="007D27D6"/>
    <w:rsid w:val="007D57CF"/>
    <w:rsid w:val="007D7379"/>
    <w:rsid w:val="007E3443"/>
    <w:rsid w:val="007F0FBA"/>
    <w:rsid w:val="007F5A21"/>
    <w:rsid w:val="00800A47"/>
    <w:rsid w:val="008031AC"/>
    <w:rsid w:val="00812A87"/>
    <w:rsid w:val="00813A0A"/>
    <w:rsid w:val="008210E1"/>
    <w:rsid w:val="008244BA"/>
    <w:rsid w:val="00831F69"/>
    <w:rsid w:val="008331D9"/>
    <w:rsid w:val="00835B84"/>
    <w:rsid w:val="00854778"/>
    <w:rsid w:val="00856764"/>
    <w:rsid w:val="0085691E"/>
    <w:rsid w:val="00861991"/>
    <w:rsid w:val="00861F1E"/>
    <w:rsid w:val="00863550"/>
    <w:rsid w:val="008679FF"/>
    <w:rsid w:val="00872015"/>
    <w:rsid w:val="008809E9"/>
    <w:rsid w:val="00880D03"/>
    <w:rsid w:val="0089152E"/>
    <w:rsid w:val="008A21FB"/>
    <w:rsid w:val="008A6610"/>
    <w:rsid w:val="008B2E4F"/>
    <w:rsid w:val="008B410E"/>
    <w:rsid w:val="008B4AAE"/>
    <w:rsid w:val="008C0677"/>
    <w:rsid w:val="008C3301"/>
    <w:rsid w:val="008C39FE"/>
    <w:rsid w:val="008C67F4"/>
    <w:rsid w:val="008D15FB"/>
    <w:rsid w:val="008E2D3D"/>
    <w:rsid w:val="008E4268"/>
    <w:rsid w:val="008E7673"/>
    <w:rsid w:val="008F129B"/>
    <w:rsid w:val="008F1C46"/>
    <w:rsid w:val="008F4A57"/>
    <w:rsid w:val="008F5D18"/>
    <w:rsid w:val="008F7015"/>
    <w:rsid w:val="008F73BC"/>
    <w:rsid w:val="009054BD"/>
    <w:rsid w:val="00905E61"/>
    <w:rsid w:val="00910397"/>
    <w:rsid w:val="00910ECE"/>
    <w:rsid w:val="00911B37"/>
    <w:rsid w:val="009121BF"/>
    <w:rsid w:val="009149E0"/>
    <w:rsid w:val="00916D1C"/>
    <w:rsid w:val="009176C2"/>
    <w:rsid w:val="009209D5"/>
    <w:rsid w:val="009226E7"/>
    <w:rsid w:val="0092793D"/>
    <w:rsid w:val="00930C86"/>
    <w:rsid w:val="00931835"/>
    <w:rsid w:val="00935CB3"/>
    <w:rsid w:val="009363AB"/>
    <w:rsid w:val="00936A6A"/>
    <w:rsid w:val="00943A01"/>
    <w:rsid w:val="00944D0D"/>
    <w:rsid w:val="00960141"/>
    <w:rsid w:val="0096302B"/>
    <w:rsid w:val="0097197C"/>
    <w:rsid w:val="0097350F"/>
    <w:rsid w:val="009808F5"/>
    <w:rsid w:val="00994FF4"/>
    <w:rsid w:val="0099763D"/>
    <w:rsid w:val="009A4C0A"/>
    <w:rsid w:val="009A612E"/>
    <w:rsid w:val="009A7EDB"/>
    <w:rsid w:val="009C26B8"/>
    <w:rsid w:val="009C5772"/>
    <w:rsid w:val="009D0653"/>
    <w:rsid w:val="009D4867"/>
    <w:rsid w:val="009E05B4"/>
    <w:rsid w:val="009E1854"/>
    <w:rsid w:val="009E438D"/>
    <w:rsid w:val="009E57CD"/>
    <w:rsid w:val="009E6850"/>
    <w:rsid w:val="009E78DA"/>
    <w:rsid w:val="00A00E85"/>
    <w:rsid w:val="00A02A5C"/>
    <w:rsid w:val="00A06048"/>
    <w:rsid w:val="00A06E09"/>
    <w:rsid w:val="00A07E86"/>
    <w:rsid w:val="00A162C8"/>
    <w:rsid w:val="00A2316C"/>
    <w:rsid w:val="00A26CE5"/>
    <w:rsid w:val="00A271B3"/>
    <w:rsid w:val="00A345E8"/>
    <w:rsid w:val="00A426B2"/>
    <w:rsid w:val="00A46C61"/>
    <w:rsid w:val="00A50100"/>
    <w:rsid w:val="00A56D55"/>
    <w:rsid w:val="00A57F35"/>
    <w:rsid w:val="00A62469"/>
    <w:rsid w:val="00A704C8"/>
    <w:rsid w:val="00A74C17"/>
    <w:rsid w:val="00A80D4D"/>
    <w:rsid w:val="00A97E6C"/>
    <w:rsid w:val="00AA4F57"/>
    <w:rsid w:val="00AA6A6A"/>
    <w:rsid w:val="00AB31A4"/>
    <w:rsid w:val="00AC1070"/>
    <w:rsid w:val="00AC744E"/>
    <w:rsid w:val="00AD0A20"/>
    <w:rsid w:val="00AD1E0C"/>
    <w:rsid w:val="00AD5A53"/>
    <w:rsid w:val="00AE2C6D"/>
    <w:rsid w:val="00AE32AC"/>
    <w:rsid w:val="00AF5BF8"/>
    <w:rsid w:val="00B0242D"/>
    <w:rsid w:val="00B04616"/>
    <w:rsid w:val="00B105FA"/>
    <w:rsid w:val="00B1572B"/>
    <w:rsid w:val="00B15E85"/>
    <w:rsid w:val="00B17774"/>
    <w:rsid w:val="00B17FBF"/>
    <w:rsid w:val="00B23879"/>
    <w:rsid w:val="00B3351F"/>
    <w:rsid w:val="00B43AD1"/>
    <w:rsid w:val="00B43DAD"/>
    <w:rsid w:val="00B43FD5"/>
    <w:rsid w:val="00B47FA7"/>
    <w:rsid w:val="00B503A8"/>
    <w:rsid w:val="00B53D89"/>
    <w:rsid w:val="00B54735"/>
    <w:rsid w:val="00B57DDA"/>
    <w:rsid w:val="00B60A75"/>
    <w:rsid w:val="00B636D3"/>
    <w:rsid w:val="00B7072C"/>
    <w:rsid w:val="00B755FA"/>
    <w:rsid w:val="00B80370"/>
    <w:rsid w:val="00B81090"/>
    <w:rsid w:val="00B875B8"/>
    <w:rsid w:val="00BA347E"/>
    <w:rsid w:val="00BA5D0A"/>
    <w:rsid w:val="00BB16EF"/>
    <w:rsid w:val="00BC1796"/>
    <w:rsid w:val="00BC2314"/>
    <w:rsid w:val="00BC32C4"/>
    <w:rsid w:val="00BC645F"/>
    <w:rsid w:val="00BE129B"/>
    <w:rsid w:val="00BE2C48"/>
    <w:rsid w:val="00BE3569"/>
    <w:rsid w:val="00BF1DC8"/>
    <w:rsid w:val="00BF2EED"/>
    <w:rsid w:val="00BF47B9"/>
    <w:rsid w:val="00BF6B53"/>
    <w:rsid w:val="00C04219"/>
    <w:rsid w:val="00C04FDD"/>
    <w:rsid w:val="00C06865"/>
    <w:rsid w:val="00C10936"/>
    <w:rsid w:val="00C15AD3"/>
    <w:rsid w:val="00C204FF"/>
    <w:rsid w:val="00C24EAA"/>
    <w:rsid w:val="00C35470"/>
    <w:rsid w:val="00C35F5B"/>
    <w:rsid w:val="00C369E9"/>
    <w:rsid w:val="00C406DE"/>
    <w:rsid w:val="00C40990"/>
    <w:rsid w:val="00C432B0"/>
    <w:rsid w:val="00C43995"/>
    <w:rsid w:val="00C46D64"/>
    <w:rsid w:val="00C47CC6"/>
    <w:rsid w:val="00C5208F"/>
    <w:rsid w:val="00C5545A"/>
    <w:rsid w:val="00C55F9F"/>
    <w:rsid w:val="00C56A01"/>
    <w:rsid w:val="00C75763"/>
    <w:rsid w:val="00C758C9"/>
    <w:rsid w:val="00C84D09"/>
    <w:rsid w:val="00C92F75"/>
    <w:rsid w:val="00C92FFD"/>
    <w:rsid w:val="00C94AC0"/>
    <w:rsid w:val="00CB7953"/>
    <w:rsid w:val="00CC1B03"/>
    <w:rsid w:val="00CC4EB8"/>
    <w:rsid w:val="00CC6E92"/>
    <w:rsid w:val="00CC70C2"/>
    <w:rsid w:val="00CD14EA"/>
    <w:rsid w:val="00CD245C"/>
    <w:rsid w:val="00CE12B5"/>
    <w:rsid w:val="00CE1748"/>
    <w:rsid w:val="00CE3C3B"/>
    <w:rsid w:val="00CF0777"/>
    <w:rsid w:val="00CF226A"/>
    <w:rsid w:val="00CF4EB7"/>
    <w:rsid w:val="00CF6E78"/>
    <w:rsid w:val="00CF7892"/>
    <w:rsid w:val="00D10DEF"/>
    <w:rsid w:val="00D164B5"/>
    <w:rsid w:val="00D17B26"/>
    <w:rsid w:val="00D200F8"/>
    <w:rsid w:val="00D2347D"/>
    <w:rsid w:val="00D238EF"/>
    <w:rsid w:val="00D2466E"/>
    <w:rsid w:val="00D2643E"/>
    <w:rsid w:val="00D276F8"/>
    <w:rsid w:val="00D32E1E"/>
    <w:rsid w:val="00D37E51"/>
    <w:rsid w:val="00D40501"/>
    <w:rsid w:val="00D4340C"/>
    <w:rsid w:val="00D44505"/>
    <w:rsid w:val="00D52B63"/>
    <w:rsid w:val="00D54533"/>
    <w:rsid w:val="00D60A2A"/>
    <w:rsid w:val="00D62A60"/>
    <w:rsid w:val="00D70058"/>
    <w:rsid w:val="00D7070A"/>
    <w:rsid w:val="00D72446"/>
    <w:rsid w:val="00D726BC"/>
    <w:rsid w:val="00D73B0A"/>
    <w:rsid w:val="00D86FB9"/>
    <w:rsid w:val="00D87544"/>
    <w:rsid w:val="00D930D4"/>
    <w:rsid w:val="00D9411E"/>
    <w:rsid w:val="00D9580D"/>
    <w:rsid w:val="00D96EA1"/>
    <w:rsid w:val="00DA116D"/>
    <w:rsid w:val="00DA38E3"/>
    <w:rsid w:val="00DA581C"/>
    <w:rsid w:val="00DB1308"/>
    <w:rsid w:val="00DC228A"/>
    <w:rsid w:val="00DD0FC7"/>
    <w:rsid w:val="00DD3D1A"/>
    <w:rsid w:val="00DD7F5F"/>
    <w:rsid w:val="00DE4CF3"/>
    <w:rsid w:val="00DE7A49"/>
    <w:rsid w:val="00DE7B04"/>
    <w:rsid w:val="00DF0D76"/>
    <w:rsid w:val="00DF1B57"/>
    <w:rsid w:val="00DF26C6"/>
    <w:rsid w:val="00DF2CF3"/>
    <w:rsid w:val="00DF3CC6"/>
    <w:rsid w:val="00E04FBB"/>
    <w:rsid w:val="00E10149"/>
    <w:rsid w:val="00E12A5F"/>
    <w:rsid w:val="00E17232"/>
    <w:rsid w:val="00E1733A"/>
    <w:rsid w:val="00E307DB"/>
    <w:rsid w:val="00E37B84"/>
    <w:rsid w:val="00E43819"/>
    <w:rsid w:val="00E47405"/>
    <w:rsid w:val="00E565C8"/>
    <w:rsid w:val="00E56A9B"/>
    <w:rsid w:val="00E60463"/>
    <w:rsid w:val="00E6074C"/>
    <w:rsid w:val="00E60F1F"/>
    <w:rsid w:val="00E60F5E"/>
    <w:rsid w:val="00E7329F"/>
    <w:rsid w:val="00E81E2E"/>
    <w:rsid w:val="00E923F0"/>
    <w:rsid w:val="00EA08B5"/>
    <w:rsid w:val="00EA1962"/>
    <w:rsid w:val="00EA5882"/>
    <w:rsid w:val="00EA6217"/>
    <w:rsid w:val="00EA7481"/>
    <w:rsid w:val="00EC52F4"/>
    <w:rsid w:val="00ED039A"/>
    <w:rsid w:val="00ED1E27"/>
    <w:rsid w:val="00ED4B66"/>
    <w:rsid w:val="00ED71A7"/>
    <w:rsid w:val="00EE0D52"/>
    <w:rsid w:val="00EE2060"/>
    <w:rsid w:val="00EE263D"/>
    <w:rsid w:val="00EE7406"/>
    <w:rsid w:val="00EF0683"/>
    <w:rsid w:val="00F01F33"/>
    <w:rsid w:val="00F02857"/>
    <w:rsid w:val="00F07D3C"/>
    <w:rsid w:val="00F07E70"/>
    <w:rsid w:val="00F12A4D"/>
    <w:rsid w:val="00F13B6F"/>
    <w:rsid w:val="00F16AA5"/>
    <w:rsid w:val="00F17ED3"/>
    <w:rsid w:val="00F21381"/>
    <w:rsid w:val="00F22695"/>
    <w:rsid w:val="00F26A12"/>
    <w:rsid w:val="00F3255F"/>
    <w:rsid w:val="00F43AFB"/>
    <w:rsid w:val="00F6242D"/>
    <w:rsid w:val="00F632D4"/>
    <w:rsid w:val="00F66522"/>
    <w:rsid w:val="00F725B9"/>
    <w:rsid w:val="00F72731"/>
    <w:rsid w:val="00F730C7"/>
    <w:rsid w:val="00F74BDA"/>
    <w:rsid w:val="00F77CF8"/>
    <w:rsid w:val="00F81F0C"/>
    <w:rsid w:val="00F933EB"/>
    <w:rsid w:val="00F93790"/>
    <w:rsid w:val="00F94127"/>
    <w:rsid w:val="00F9425D"/>
    <w:rsid w:val="00F945A1"/>
    <w:rsid w:val="00F97160"/>
    <w:rsid w:val="00FA68C0"/>
    <w:rsid w:val="00FB39A0"/>
    <w:rsid w:val="00FC11D7"/>
    <w:rsid w:val="00FC1758"/>
    <w:rsid w:val="00FC37CF"/>
    <w:rsid w:val="00FC4EF1"/>
    <w:rsid w:val="00FC73B3"/>
    <w:rsid w:val="00FC76E2"/>
    <w:rsid w:val="00FD43DF"/>
    <w:rsid w:val="00FF0743"/>
    <w:rsid w:val="026295B3"/>
    <w:rsid w:val="050D07B2"/>
    <w:rsid w:val="20C2154D"/>
    <w:rsid w:val="320EB1EF"/>
    <w:rsid w:val="395EBE53"/>
    <w:rsid w:val="3AA85E38"/>
    <w:rsid w:val="4CAFE2AE"/>
    <w:rsid w:val="5E222B40"/>
    <w:rsid w:val="71960DBA"/>
    <w:rsid w:val="71D47AF9"/>
    <w:rsid w:val="7AF7DE13"/>
    <w:rsid w:val="7CA501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54DC7B"/>
  <w15:chartTrackingRefBased/>
  <w15:docId w15:val="{2E823784-22C0-4FE4-9FA8-E73C45F87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E263D"/>
  </w:style>
  <w:style w:type="paragraph" w:styleId="Heading1">
    <w:name w:val="heading 1"/>
    <w:basedOn w:val="Normal"/>
    <w:next w:val="Normal"/>
    <w:link w:val="Heading1Char"/>
    <w:uiPriority w:val="9"/>
    <w:qFormat/>
    <w:rsid w:val="00D62A60"/>
    <w:pPr>
      <w:keepNext/>
      <w:keepLines/>
      <w:spacing w:before="240" w:after="0"/>
      <w:ind w:left="432" w:hanging="432"/>
      <w:outlineLvl w:val="0"/>
    </w:pPr>
    <w:rPr>
      <w:rFonts w:asciiTheme="majorHAnsi" w:hAnsiTheme="majorHAnsi" w:eastAsiaTheme="majorEastAsia" w:cstheme="majorBidi"/>
      <w:b/>
      <w:color w:val="1B587C" w:themeColor="accent1"/>
      <w:sz w:val="36"/>
      <w:szCs w:val="32"/>
    </w:rPr>
  </w:style>
  <w:style w:type="paragraph" w:styleId="Heading2">
    <w:name w:val="heading 2"/>
    <w:basedOn w:val="Normal"/>
    <w:next w:val="Normal"/>
    <w:link w:val="Heading2Char"/>
    <w:uiPriority w:val="9"/>
    <w:unhideWhenUsed/>
    <w:qFormat/>
    <w:rsid w:val="00D62A60"/>
    <w:pPr>
      <w:keepNext/>
      <w:keepLines/>
      <w:spacing w:before="40" w:after="0"/>
      <w:ind w:left="432" w:hanging="432"/>
      <w:outlineLvl w:val="1"/>
    </w:pPr>
    <w:rPr>
      <w:rFonts w:asciiTheme="majorHAnsi" w:hAnsiTheme="majorHAnsi" w:eastAsiaTheme="majorEastAsia" w:cstheme="majorBidi"/>
      <w:color w:val="000000" w:themeColor="text1"/>
      <w:sz w:val="36"/>
      <w:szCs w:val="26"/>
    </w:rPr>
  </w:style>
  <w:style w:type="paragraph" w:styleId="Heading3">
    <w:name w:val="heading 3"/>
    <w:basedOn w:val="Normal"/>
    <w:next w:val="Normal"/>
    <w:link w:val="Heading3Char"/>
    <w:uiPriority w:val="9"/>
    <w:unhideWhenUsed/>
    <w:qFormat/>
    <w:rsid w:val="00D62A60"/>
    <w:pPr>
      <w:keepNext/>
      <w:keepLines/>
      <w:spacing w:before="40" w:after="0"/>
      <w:ind w:left="432" w:hanging="432"/>
      <w:outlineLvl w:val="2"/>
    </w:pPr>
    <w:rPr>
      <w:rFonts w:asciiTheme="majorHAnsi" w:hAnsiTheme="majorHAnsi" w:eastAsiaTheme="majorEastAsia" w:cstheme="majorBidi"/>
      <w:color w:val="000000" w:themeColor="text1"/>
      <w:sz w:val="28"/>
      <w:szCs w:val="24"/>
    </w:rPr>
  </w:style>
  <w:style w:type="paragraph" w:styleId="Heading4">
    <w:name w:val="heading 4"/>
    <w:basedOn w:val="Normal"/>
    <w:next w:val="Normal"/>
    <w:link w:val="Heading4Char"/>
    <w:uiPriority w:val="9"/>
    <w:unhideWhenUsed/>
    <w:qFormat/>
    <w:rsid w:val="00EE263D"/>
    <w:pPr>
      <w:outlineLvl w:val="3"/>
    </w:pPr>
    <w:rPr>
      <w:i/>
      <w:color w:val="1B587C" w:themeColor="accent1"/>
      <w:sz w:val="28"/>
      <w:lang w:val="de-DE"/>
    </w:rPr>
  </w:style>
  <w:style w:type="paragraph" w:styleId="Heading5">
    <w:name w:val="heading 5"/>
    <w:basedOn w:val="Normal"/>
    <w:next w:val="Normal"/>
    <w:link w:val="Heading5Char"/>
    <w:uiPriority w:val="9"/>
    <w:unhideWhenUsed/>
    <w:rsid w:val="00EE263D"/>
    <w:pPr>
      <w:outlineLvl w:val="4"/>
    </w:pPr>
    <w:rPr>
      <w:color w:val="1B587C" w:themeColor="accent1"/>
      <w:sz w:val="28"/>
      <w:lang w:val="de-DE"/>
    </w:rPr>
  </w:style>
  <w:style w:type="paragraph" w:styleId="Heading6">
    <w:name w:val="heading 6"/>
    <w:basedOn w:val="Normal"/>
    <w:next w:val="Normal"/>
    <w:link w:val="Heading6Char"/>
    <w:uiPriority w:val="9"/>
    <w:semiHidden/>
    <w:unhideWhenUsed/>
    <w:rsid w:val="00B3351F"/>
    <w:pPr>
      <w:keepNext/>
      <w:keepLines/>
      <w:numPr>
        <w:ilvl w:val="5"/>
        <w:numId w:val="1"/>
      </w:numPr>
      <w:spacing w:before="40" w:after="0"/>
      <w:outlineLvl w:val="5"/>
    </w:pPr>
    <w:rPr>
      <w:rFonts w:asciiTheme="majorHAnsi" w:hAnsiTheme="majorHAnsi" w:eastAsiaTheme="majorEastAsia" w:cstheme="majorBidi"/>
      <w:color w:val="0D2B3D" w:themeColor="accent1" w:themeShade="7F"/>
    </w:rPr>
  </w:style>
  <w:style w:type="paragraph" w:styleId="Heading7">
    <w:name w:val="heading 7"/>
    <w:basedOn w:val="Normal"/>
    <w:next w:val="Normal"/>
    <w:link w:val="Heading7Char"/>
    <w:uiPriority w:val="9"/>
    <w:semiHidden/>
    <w:unhideWhenUsed/>
    <w:qFormat/>
    <w:rsid w:val="00B3351F"/>
    <w:pPr>
      <w:keepNext/>
      <w:keepLines/>
      <w:numPr>
        <w:ilvl w:val="6"/>
        <w:numId w:val="1"/>
      </w:numPr>
      <w:spacing w:before="40" w:after="0"/>
      <w:outlineLvl w:val="6"/>
    </w:pPr>
    <w:rPr>
      <w:rFonts w:asciiTheme="majorHAnsi" w:hAnsiTheme="majorHAnsi" w:eastAsiaTheme="majorEastAsia" w:cstheme="majorBidi"/>
      <w:i/>
      <w:iCs/>
      <w:color w:val="0D2B3D" w:themeColor="accent1" w:themeShade="7F"/>
    </w:rPr>
  </w:style>
  <w:style w:type="paragraph" w:styleId="Heading8">
    <w:name w:val="heading 8"/>
    <w:basedOn w:val="Normal"/>
    <w:next w:val="Normal"/>
    <w:link w:val="Heading8Char"/>
    <w:uiPriority w:val="9"/>
    <w:semiHidden/>
    <w:unhideWhenUsed/>
    <w:qFormat/>
    <w:rsid w:val="00B3351F"/>
    <w:pPr>
      <w:keepNext/>
      <w:keepLines/>
      <w:numPr>
        <w:ilvl w:val="7"/>
        <w:numId w:val="1"/>
      </w:numPr>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3351F"/>
    <w:pPr>
      <w:keepNext/>
      <w:keepLines/>
      <w:numPr>
        <w:ilvl w:val="8"/>
        <w:numId w:val="1"/>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62A60"/>
    <w:rPr>
      <w:rFonts w:asciiTheme="majorHAnsi" w:hAnsiTheme="majorHAnsi" w:eastAsiaTheme="majorEastAsia" w:cstheme="majorBidi"/>
      <w:b/>
      <w:color w:val="1B587C" w:themeColor="accent1"/>
      <w:sz w:val="36"/>
      <w:szCs w:val="32"/>
    </w:rPr>
  </w:style>
  <w:style w:type="character" w:styleId="Heading2Char" w:customStyle="1">
    <w:name w:val="Heading 2 Char"/>
    <w:basedOn w:val="DefaultParagraphFont"/>
    <w:link w:val="Heading2"/>
    <w:uiPriority w:val="9"/>
    <w:rsid w:val="00D62A60"/>
    <w:rPr>
      <w:rFonts w:asciiTheme="majorHAnsi" w:hAnsiTheme="majorHAnsi" w:eastAsiaTheme="majorEastAsia" w:cstheme="majorBidi"/>
      <w:color w:val="000000" w:themeColor="text1"/>
      <w:sz w:val="36"/>
      <w:szCs w:val="26"/>
    </w:rPr>
  </w:style>
  <w:style w:type="character" w:styleId="Heading3Char" w:customStyle="1">
    <w:name w:val="Heading 3 Char"/>
    <w:basedOn w:val="DefaultParagraphFont"/>
    <w:link w:val="Heading3"/>
    <w:uiPriority w:val="9"/>
    <w:rsid w:val="00D62A60"/>
    <w:rPr>
      <w:rFonts w:asciiTheme="majorHAnsi" w:hAnsiTheme="majorHAnsi" w:eastAsiaTheme="majorEastAsia" w:cstheme="majorBidi"/>
      <w:color w:val="000000" w:themeColor="text1"/>
      <w:sz w:val="28"/>
      <w:szCs w:val="24"/>
    </w:rPr>
  </w:style>
  <w:style w:type="character" w:styleId="Heading4Char" w:customStyle="1">
    <w:name w:val="Heading 4 Char"/>
    <w:basedOn w:val="DefaultParagraphFont"/>
    <w:link w:val="Heading4"/>
    <w:uiPriority w:val="9"/>
    <w:rsid w:val="00EE263D"/>
    <w:rPr>
      <w:i/>
      <w:color w:val="1B587C" w:themeColor="accent1"/>
      <w:sz w:val="28"/>
      <w:lang w:val="de-DE"/>
    </w:rPr>
  </w:style>
  <w:style w:type="character" w:styleId="Heading5Char" w:customStyle="1">
    <w:name w:val="Heading 5 Char"/>
    <w:basedOn w:val="DefaultParagraphFont"/>
    <w:link w:val="Heading5"/>
    <w:uiPriority w:val="9"/>
    <w:rsid w:val="00EE263D"/>
    <w:rPr>
      <w:color w:val="1B587C" w:themeColor="accent1"/>
      <w:sz w:val="28"/>
      <w:lang w:val="de-DE"/>
    </w:rPr>
  </w:style>
  <w:style w:type="character" w:styleId="Heading6Char" w:customStyle="1">
    <w:name w:val="Heading 6 Char"/>
    <w:basedOn w:val="DefaultParagraphFont"/>
    <w:link w:val="Heading6"/>
    <w:uiPriority w:val="9"/>
    <w:semiHidden/>
    <w:rsid w:val="00B3351F"/>
    <w:rPr>
      <w:rFonts w:asciiTheme="majorHAnsi" w:hAnsiTheme="majorHAnsi" w:eastAsiaTheme="majorEastAsia" w:cstheme="majorBidi"/>
      <w:color w:val="0D2B3D" w:themeColor="accent1" w:themeShade="7F"/>
    </w:rPr>
  </w:style>
  <w:style w:type="character" w:styleId="Heading7Char" w:customStyle="1">
    <w:name w:val="Heading 7 Char"/>
    <w:basedOn w:val="DefaultParagraphFont"/>
    <w:link w:val="Heading7"/>
    <w:uiPriority w:val="9"/>
    <w:semiHidden/>
    <w:rsid w:val="00B3351F"/>
    <w:rPr>
      <w:rFonts w:asciiTheme="majorHAnsi" w:hAnsiTheme="majorHAnsi" w:eastAsiaTheme="majorEastAsia" w:cstheme="majorBidi"/>
      <w:i/>
      <w:iCs/>
      <w:color w:val="0D2B3D" w:themeColor="accent1" w:themeShade="7F"/>
    </w:rPr>
  </w:style>
  <w:style w:type="character" w:styleId="Heading8Char" w:customStyle="1">
    <w:name w:val="Heading 8 Char"/>
    <w:basedOn w:val="DefaultParagraphFont"/>
    <w:link w:val="Heading8"/>
    <w:uiPriority w:val="9"/>
    <w:semiHidden/>
    <w:rsid w:val="00B3351F"/>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B3351F"/>
    <w:rPr>
      <w:rFonts w:asciiTheme="majorHAnsi" w:hAnsiTheme="majorHAnsi" w:eastAsiaTheme="majorEastAsia" w:cstheme="majorBidi"/>
      <w:i/>
      <w:iCs/>
      <w:color w:val="272727" w:themeColor="text1" w:themeTint="D8"/>
      <w:sz w:val="21"/>
      <w:szCs w:val="21"/>
    </w:rPr>
  </w:style>
  <w:style w:type="numbering" w:styleId="MultilevelHeading" w:customStyle="1">
    <w:name w:val="Multilevel Heading"/>
    <w:uiPriority w:val="99"/>
    <w:rsid w:val="00EE263D"/>
    <w:pPr>
      <w:numPr>
        <w:numId w:val="2"/>
      </w:numPr>
    </w:pPr>
  </w:style>
  <w:style w:type="paragraph" w:styleId="NoSpacing">
    <w:name w:val="No Spacing"/>
    <w:uiPriority w:val="1"/>
    <w:qFormat/>
    <w:rsid w:val="00D62A60"/>
    <w:pPr>
      <w:spacing w:after="0" w:line="240" w:lineRule="auto"/>
    </w:pPr>
  </w:style>
  <w:style w:type="paragraph" w:styleId="Header">
    <w:name w:val="header"/>
    <w:basedOn w:val="Normal"/>
    <w:link w:val="HeaderChar"/>
    <w:uiPriority w:val="99"/>
    <w:unhideWhenUsed/>
    <w:rsid w:val="00D62A60"/>
    <w:pPr>
      <w:tabs>
        <w:tab w:val="center" w:pos="4703"/>
        <w:tab w:val="right" w:pos="9406"/>
      </w:tabs>
      <w:spacing w:after="0" w:line="240" w:lineRule="auto"/>
    </w:pPr>
  </w:style>
  <w:style w:type="character" w:styleId="HeaderChar" w:customStyle="1">
    <w:name w:val="Header Char"/>
    <w:basedOn w:val="DefaultParagraphFont"/>
    <w:link w:val="Header"/>
    <w:uiPriority w:val="99"/>
    <w:rsid w:val="00D62A60"/>
  </w:style>
  <w:style w:type="paragraph" w:styleId="Footer">
    <w:name w:val="footer"/>
    <w:basedOn w:val="Normal"/>
    <w:link w:val="FooterChar"/>
    <w:uiPriority w:val="99"/>
    <w:unhideWhenUsed/>
    <w:rsid w:val="00D62A60"/>
    <w:pPr>
      <w:tabs>
        <w:tab w:val="center" w:pos="4703"/>
        <w:tab w:val="right" w:pos="9406"/>
      </w:tabs>
      <w:spacing w:after="0" w:line="240" w:lineRule="auto"/>
    </w:pPr>
  </w:style>
  <w:style w:type="character" w:styleId="FooterChar" w:customStyle="1">
    <w:name w:val="Footer Char"/>
    <w:basedOn w:val="DefaultParagraphFont"/>
    <w:link w:val="Footer"/>
    <w:uiPriority w:val="99"/>
    <w:rsid w:val="00D62A60"/>
  </w:style>
  <w:style w:type="table" w:styleId="TableGrid">
    <w:name w:val="Table Grid"/>
    <w:basedOn w:val="TableNormal"/>
    <w:uiPriority w:val="39"/>
    <w:rsid w:val="0076007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DB1308"/>
    <w:pPr>
      <w:ind w:left="720"/>
      <w:contextualSpacing/>
    </w:pPr>
  </w:style>
  <w:style w:type="table" w:styleId="GridTable4-Accent4">
    <w:name w:val="Grid Table 4 Accent 4"/>
    <w:basedOn w:val="TableNormal"/>
    <w:uiPriority w:val="49"/>
    <w:rsid w:val="00D72446"/>
    <w:pPr>
      <w:spacing w:after="0" w:line="240" w:lineRule="auto"/>
    </w:pPr>
    <w:rPr>
      <w:lang w:val="de-DE"/>
    </w:rPr>
    <w:tblPr>
      <w:tblStyleRowBandSize w:val="1"/>
      <w:tblStyleColBandSize w:val="1"/>
      <w:tblBorders>
        <w:top w:val="single" w:color="BFE9D4" w:themeColor="accent4" w:themeTint="99" w:sz="4" w:space="0"/>
        <w:left w:val="single" w:color="BFE9D4" w:themeColor="accent4" w:themeTint="99" w:sz="4" w:space="0"/>
        <w:bottom w:val="single" w:color="BFE9D4" w:themeColor="accent4" w:themeTint="99" w:sz="4" w:space="0"/>
        <w:right w:val="single" w:color="BFE9D4" w:themeColor="accent4" w:themeTint="99" w:sz="4" w:space="0"/>
        <w:insideH w:val="single" w:color="BFE9D4" w:themeColor="accent4" w:themeTint="99" w:sz="4" w:space="0"/>
        <w:insideV w:val="single" w:color="BFE9D4" w:themeColor="accent4" w:themeTint="99" w:sz="4" w:space="0"/>
      </w:tblBorders>
    </w:tblPr>
    <w:tblStylePr w:type="firstRow">
      <w:rPr>
        <w:b/>
        <w:bCs/>
        <w:color w:val="FFFFFF" w:themeColor="background1"/>
      </w:rPr>
      <w:tblPr/>
      <w:tcPr>
        <w:tcBorders>
          <w:top w:val="single" w:color="95DBB8" w:themeColor="accent4" w:sz="4" w:space="0"/>
          <w:left w:val="single" w:color="95DBB8" w:themeColor="accent4" w:sz="4" w:space="0"/>
          <w:bottom w:val="single" w:color="95DBB8" w:themeColor="accent4" w:sz="4" w:space="0"/>
          <w:right w:val="single" w:color="95DBB8" w:themeColor="accent4" w:sz="4" w:space="0"/>
          <w:insideH w:val="nil"/>
          <w:insideV w:val="nil"/>
        </w:tcBorders>
        <w:shd w:val="clear" w:color="auto" w:fill="95DBB8" w:themeFill="accent4"/>
      </w:tcPr>
    </w:tblStylePr>
    <w:tblStylePr w:type="lastRow">
      <w:rPr>
        <w:b/>
        <w:bCs/>
      </w:rPr>
      <w:tblPr/>
      <w:tcPr>
        <w:tcBorders>
          <w:top w:val="double" w:color="95DBB8" w:themeColor="accent4" w:sz="4" w:space="0"/>
        </w:tcBorders>
      </w:tcPr>
    </w:tblStylePr>
    <w:tblStylePr w:type="firstCol">
      <w:rPr>
        <w:b/>
        <w:bCs/>
      </w:rPr>
    </w:tblStylePr>
    <w:tblStylePr w:type="lastCol">
      <w:rPr>
        <w:b/>
        <w:bCs/>
      </w:rPr>
    </w:tblStylePr>
    <w:tblStylePr w:type="band1Vert">
      <w:tblPr/>
      <w:tcPr>
        <w:shd w:val="clear" w:color="auto" w:fill="E9F7F0" w:themeFill="accent4" w:themeFillTint="33"/>
      </w:tcPr>
    </w:tblStylePr>
    <w:tblStylePr w:type="band1Horz">
      <w:tblPr/>
      <w:tcPr>
        <w:shd w:val="clear" w:color="auto" w:fill="E9F7F0" w:themeFill="accent4" w:themeFillTint="33"/>
      </w:tcPr>
    </w:tblStylePr>
  </w:style>
  <w:style w:type="table" w:styleId="GridTable4-Accent1">
    <w:name w:val="Grid Table 4 Accent 1"/>
    <w:basedOn w:val="TableNormal"/>
    <w:uiPriority w:val="49"/>
    <w:rsid w:val="00D72446"/>
    <w:pPr>
      <w:spacing w:after="0" w:line="240" w:lineRule="auto"/>
    </w:pPr>
    <w:tblPr>
      <w:tblStyleRowBandSize w:val="1"/>
      <w:tblStyleColBandSize w:val="1"/>
      <w:tblBorders>
        <w:top w:val="single" w:color="4DA4D8" w:themeColor="accent1" w:themeTint="99" w:sz="4" w:space="0"/>
        <w:left w:val="single" w:color="4DA4D8" w:themeColor="accent1" w:themeTint="99" w:sz="4" w:space="0"/>
        <w:bottom w:val="single" w:color="4DA4D8" w:themeColor="accent1" w:themeTint="99" w:sz="4" w:space="0"/>
        <w:right w:val="single" w:color="4DA4D8" w:themeColor="accent1" w:themeTint="99" w:sz="4" w:space="0"/>
        <w:insideH w:val="single" w:color="4DA4D8" w:themeColor="accent1" w:themeTint="99" w:sz="4" w:space="0"/>
        <w:insideV w:val="single" w:color="4DA4D8" w:themeColor="accent1" w:themeTint="99" w:sz="4" w:space="0"/>
      </w:tblBorders>
    </w:tblPr>
    <w:tblStylePr w:type="firstRow">
      <w:rPr>
        <w:b/>
        <w:bCs/>
        <w:color w:val="FFFFFF" w:themeColor="background1"/>
      </w:rPr>
      <w:tblPr/>
      <w:tcPr>
        <w:tcBorders>
          <w:top w:val="single" w:color="1B587C" w:themeColor="accent1" w:sz="4" w:space="0"/>
          <w:left w:val="single" w:color="1B587C" w:themeColor="accent1" w:sz="4" w:space="0"/>
          <w:bottom w:val="single" w:color="1B587C" w:themeColor="accent1" w:sz="4" w:space="0"/>
          <w:right w:val="single" w:color="1B587C" w:themeColor="accent1" w:sz="4" w:space="0"/>
          <w:insideH w:val="nil"/>
          <w:insideV w:val="nil"/>
        </w:tcBorders>
        <w:shd w:val="clear" w:color="auto" w:fill="1B587C" w:themeFill="accent1"/>
      </w:tcPr>
    </w:tblStylePr>
    <w:tblStylePr w:type="lastRow">
      <w:rPr>
        <w:b/>
        <w:bCs/>
      </w:rPr>
      <w:tblPr/>
      <w:tcPr>
        <w:tcBorders>
          <w:top w:val="double" w:color="1B587C" w:themeColor="accent1" w:sz="4" w:space="0"/>
        </w:tcBorders>
      </w:tcPr>
    </w:tblStylePr>
    <w:tblStylePr w:type="firstCol">
      <w:rPr>
        <w:b/>
        <w:bCs/>
      </w:rPr>
    </w:tblStylePr>
    <w:tblStylePr w:type="lastCol">
      <w:rPr>
        <w:b/>
        <w:bCs/>
      </w:rPr>
    </w:tblStylePr>
    <w:tblStylePr w:type="band1Vert">
      <w:tblPr/>
      <w:tcPr>
        <w:shd w:val="clear" w:color="auto" w:fill="C3E0F2" w:themeFill="accent1" w:themeFillTint="33"/>
      </w:tcPr>
    </w:tblStylePr>
    <w:tblStylePr w:type="band1Horz">
      <w:tblPr/>
      <w:tcPr>
        <w:shd w:val="clear" w:color="auto" w:fill="C3E0F2" w:themeFill="accent1" w:themeFillTint="33"/>
      </w:tcPr>
    </w:tblStylePr>
  </w:style>
  <w:style w:type="paragraph" w:styleId="Caption">
    <w:name w:val="caption"/>
    <w:basedOn w:val="Normal"/>
    <w:next w:val="Normal"/>
    <w:uiPriority w:val="35"/>
    <w:unhideWhenUsed/>
    <w:qFormat/>
    <w:rsid w:val="00D72446"/>
    <w:pPr>
      <w:spacing w:after="200" w:line="240" w:lineRule="auto"/>
    </w:pPr>
    <w:rPr>
      <w:i/>
      <w:iCs/>
      <w:color w:val="323232" w:themeColor="text2"/>
      <w:sz w:val="18"/>
      <w:szCs w:val="18"/>
    </w:rPr>
  </w:style>
  <w:style w:type="character" w:styleId="Hyperlink">
    <w:name w:val="Hyperlink"/>
    <w:basedOn w:val="DefaultParagraphFont"/>
    <w:uiPriority w:val="99"/>
    <w:unhideWhenUsed/>
    <w:rsid w:val="00384526"/>
    <w:rPr>
      <w:color w:val="6B9F25" w:themeColor="hyperlink"/>
      <w:u w:val="single"/>
    </w:rPr>
  </w:style>
  <w:style w:type="character" w:styleId="UnresolvedMention">
    <w:name w:val="Unresolved Mention"/>
    <w:basedOn w:val="DefaultParagraphFont"/>
    <w:uiPriority w:val="99"/>
    <w:semiHidden/>
    <w:unhideWhenUsed/>
    <w:rsid w:val="00384526"/>
    <w:rPr>
      <w:color w:val="808080"/>
      <w:shd w:val="clear" w:color="auto" w:fill="E6E6E6"/>
    </w:rPr>
  </w:style>
  <w:style w:type="paragraph" w:styleId="BalloonText">
    <w:name w:val="Balloon Text"/>
    <w:basedOn w:val="Normal"/>
    <w:link w:val="BalloonTextChar"/>
    <w:uiPriority w:val="99"/>
    <w:semiHidden/>
    <w:unhideWhenUsed/>
    <w:rsid w:val="00F07D3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07D3C"/>
    <w:rPr>
      <w:rFonts w:ascii="Segoe UI" w:hAnsi="Segoe UI" w:cs="Segoe UI"/>
      <w:sz w:val="18"/>
      <w:szCs w:val="18"/>
    </w:rPr>
  </w:style>
  <w:style w:type="table" w:styleId="GridTable5Dark-Accent6">
    <w:name w:val="Grid Table 5 Dark Accent 6"/>
    <w:basedOn w:val="TableNormal"/>
    <w:uiPriority w:val="50"/>
    <w:rsid w:val="0044056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ADAD9"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84746"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84746"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84746"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84746" w:themeFill="accent6"/>
      </w:tcPr>
    </w:tblStylePr>
    <w:tblStylePr w:type="band1Vert">
      <w:tblPr/>
      <w:tcPr>
        <w:shd w:val="clear" w:color="auto" w:fill="B6B5B4" w:themeFill="accent6" w:themeFillTint="66"/>
      </w:tcPr>
    </w:tblStylePr>
    <w:tblStylePr w:type="band1Horz">
      <w:tblPr/>
      <w:tcPr>
        <w:shd w:val="clear" w:color="auto" w:fill="B6B5B4" w:themeFill="accent6" w:themeFillTint="66"/>
      </w:tcPr>
    </w:tblStylePr>
  </w:style>
  <w:style w:type="table" w:styleId="GridTable5Dark-Accent3">
    <w:name w:val="Grid Table 5 Dark Accent 3"/>
    <w:basedOn w:val="TableNormal"/>
    <w:uiPriority w:val="50"/>
    <w:rsid w:val="0044056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1F1E2"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6ABA71"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6ABA71"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6ABA71"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6ABA71" w:themeFill="accent3"/>
      </w:tcPr>
    </w:tblStylePr>
    <w:tblStylePr w:type="band1Vert">
      <w:tblPr/>
      <w:tcPr>
        <w:shd w:val="clear" w:color="auto" w:fill="C3E3C5" w:themeFill="accent3" w:themeFillTint="66"/>
      </w:tcPr>
    </w:tblStylePr>
    <w:tblStylePr w:type="band1Horz">
      <w:tblPr/>
      <w:tcPr>
        <w:shd w:val="clear" w:color="auto" w:fill="C3E3C5" w:themeFill="accent3" w:themeFillTint="66"/>
      </w:tcPr>
    </w:tblStylePr>
  </w:style>
  <w:style w:type="table" w:styleId="GridTable5Dark-Accent1">
    <w:name w:val="Grid Table 5 Dark Accent 1"/>
    <w:basedOn w:val="TableNormal"/>
    <w:uiPriority w:val="50"/>
    <w:rsid w:val="00B53D89"/>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3E0F2"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1B587C"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1B587C"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1B587C"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1B587C" w:themeFill="accent1"/>
      </w:tcPr>
    </w:tblStylePr>
    <w:tblStylePr w:type="band1Vert">
      <w:tblPr/>
      <w:tcPr>
        <w:shd w:val="clear" w:color="auto" w:fill="89C2E5" w:themeFill="accent1" w:themeFillTint="66"/>
      </w:tcPr>
    </w:tblStylePr>
    <w:tblStylePr w:type="band1Horz">
      <w:tblPr/>
      <w:tcPr>
        <w:shd w:val="clear" w:color="auto" w:fill="89C2E5" w:themeFill="accent1" w:themeFillTint="66"/>
      </w:tcPr>
    </w:tblStylePr>
  </w:style>
  <w:style w:type="paragraph" w:styleId="NormalWeb">
    <w:name w:val="Normal (Web)"/>
    <w:basedOn w:val="Normal"/>
    <w:uiPriority w:val="99"/>
    <w:semiHidden/>
    <w:unhideWhenUsed/>
    <w:rsid w:val="000E31CD"/>
    <w:pPr>
      <w:spacing w:before="100" w:beforeAutospacing="1" w:after="100" w:afterAutospacing="1" w:line="240" w:lineRule="auto"/>
    </w:pPr>
    <w:rPr>
      <w:rFonts w:ascii="Times New Roman" w:hAnsi="Times New Roman" w:eastAsia="Times New Roman" w:cs="Times New Roman"/>
      <w:sz w:val="24"/>
      <w:szCs w:val="24"/>
    </w:rPr>
  </w:style>
  <w:style w:type="paragraph" w:styleId="Revision">
    <w:name w:val="Revision"/>
    <w:hidden/>
    <w:uiPriority w:val="99"/>
    <w:semiHidden/>
    <w:rsid w:val="00110A63"/>
    <w:pPr>
      <w:spacing w:after="0" w:line="240" w:lineRule="auto"/>
    </w:pPr>
  </w:style>
  <w:style w:type="paragraph" w:styleId="Title">
    <w:name w:val="Title"/>
    <w:basedOn w:val="Normal"/>
    <w:next w:val="Normal"/>
    <w:link w:val="TitleChar"/>
    <w:uiPriority w:val="10"/>
    <w:qFormat/>
    <w:rsid w:val="00DC228A"/>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C228A"/>
    <w:rPr>
      <w:rFonts w:asciiTheme="majorHAnsi" w:hAnsiTheme="majorHAnsi" w:eastAsiaTheme="majorEastAsia" w:cstheme="majorBidi"/>
      <w:spacing w:val="-10"/>
      <w:kern w:val="28"/>
      <w:sz w:val="56"/>
      <w:szCs w:val="56"/>
    </w:rPr>
  </w:style>
  <w:style w:type="character" w:styleId="PlaceholderText">
    <w:name w:val="Placeholder Text"/>
    <w:basedOn w:val="DefaultParagraphFont"/>
    <w:uiPriority w:val="99"/>
    <w:semiHidden/>
    <w:rsid w:val="00DD3D1A"/>
    <w:rPr>
      <w:color w:val="808080"/>
    </w:rPr>
  </w:style>
  <w:style w:type="paragraph" w:styleId="paragraph" w:customStyle="1">
    <w:name w:val="paragraph"/>
    <w:basedOn w:val="Normal"/>
    <w:rsid w:val="00BF2EED"/>
    <w:pPr>
      <w:spacing w:before="100" w:beforeAutospacing="1" w:after="100" w:afterAutospacing="1" w:line="240" w:lineRule="auto"/>
    </w:pPr>
    <w:rPr>
      <w:rFonts w:ascii="Times New Roman" w:hAnsi="Times New Roman" w:eastAsia="Times New Roman" w:cs="Times New Roman"/>
      <w:sz w:val="24"/>
      <w:szCs w:val="24"/>
      <w:lang w:val="en-PK" w:eastAsia="en-GB"/>
    </w:rPr>
  </w:style>
  <w:style w:type="character" w:styleId="normaltextrun" w:customStyle="1">
    <w:name w:val="normaltextrun"/>
    <w:basedOn w:val="DefaultParagraphFont"/>
    <w:rsid w:val="00BF2EED"/>
  </w:style>
  <w:style w:type="character" w:styleId="eop" w:customStyle="1">
    <w:name w:val="eop"/>
    <w:basedOn w:val="DefaultParagraphFont"/>
    <w:rsid w:val="00BF2EED"/>
  </w:style>
  <w:style w:type="character" w:styleId="scxw44151261" w:customStyle="1">
    <w:name w:val="scxw44151261"/>
    <w:basedOn w:val="DefaultParagraphFont"/>
    <w:rsid w:val="00BF2E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47552">
      <w:bodyDiv w:val="1"/>
      <w:marLeft w:val="0"/>
      <w:marRight w:val="0"/>
      <w:marTop w:val="0"/>
      <w:marBottom w:val="0"/>
      <w:divBdr>
        <w:top w:val="none" w:sz="0" w:space="0" w:color="auto"/>
        <w:left w:val="none" w:sz="0" w:space="0" w:color="auto"/>
        <w:bottom w:val="none" w:sz="0" w:space="0" w:color="auto"/>
        <w:right w:val="none" w:sz="0" w:space="0" w:color="auto"/>
      </w:divBdr>
      <w:divsChild>
        <w:div w:id="797184057">
          <w:marLeft w:val="0"/>
          <w:marRight w:val="0"/>
          <w:marTop w:val="0"/>
          <w:marBottom w:val="0"/>
          <w:divBdr>
            <w:top w:val="none" w:sz="0" w:space="0" w:color="auto"/>
            <w:left w:val="none" w:sz="0" w:space="0" w:color="auto"/>
            <w:bottom w:val="none" w:sz="0" w:space="0" w:color="auto"/>
            <w:right w:val="none" w:sz="0" w:space="0" w:color="auto"/>
          </w:divBdr>
          <w:divsChild>
            <w:div w:id="62778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57830">
      <w:bodyDiv w:val="1"/>
      <w:marLeft w:val="0"/>
      <w:marRight w:val="0"/>
      <w:marTop w:val="0"/>
      <w:marBottom w:val="0"/>
      <w:divBdr>
        <w:top w:val="none" w:sz="0" w:space="0" w:color="auto"/>
        <w:left w:val="none" w:sz="0" w:space="0" w:color="auto"/>
        <w:bottom w:val="none" w:sz="0" w:space="0" w:color="auto"/>
        <w:right w:val="none" w:sz="0" w:space="0" w:color="auto"/>
      </w:divBdr>
    </w:div>
    <w:div w:id="271862289">
      <w:bodyDiv w:val="1"/>
      <w:marLeft w:val="0"/>
      <w:marRight w:val="0"/>
      <w:marTop w:val="0"/>
      <w:marBottom w:val="0"/>
      <w:divBdr>
        <w:top w:val="none" w:sz="0" w:space="0" w:color="auto"/>
        <w:left w:val="none" w:sz="0" w:space="0" w:color="auto"/>
        <w:bottom w:val="none" w:sz="0" w:space="0" w:color="auto"/>
        <w:right w:val="none" w:sz="0" w:space="0" w:color="auto"/>
      </w:divBdr>
      <w:divsChild>
        <w:div w:id="1311858835">
          <w:marLeft w:val="0"/>
          <w:marRight w:val="0"/>
          <w:marTop w:val="0"/>
          <w:marBottom w:val="0"/>
          <w:divBdr>
            <w:top w:val="none" w:sz="0" w:space="0" w:color="auto"/>
            <w:left w:val="none" w:sz="0" w:space="0" w:color="auto"/>
            <w:bottom w:val="none" w:sz="0" w:space="0" w:color="auto"/>
            <w:right w:val="none" w:sz="0" w:space="0" w:color="auto"/>
          </w:divBdr>
        </w:div>
      </w:divsChild>
    </w:div>
    <w:div w:id="358362799">
      <w:bodyDiv w:val="1"/>
      <w:marLeft w:val="0"/>
      <w:marRight w:val="0"/>
      <w:marTop w:val="0"/>
      <w:marBottom w:val="0"/>
      <w:divBdr>
        <w:top w:val="none" w:sz="0" w:space="0" w:color="auto"/>
        <w:left w:val="none" w:sz="0" w:space="0" w:color="auto"/>
        <w:bottom w:val="none" w:sz="0" w:space="0" w:color="auto"/>
        <w:right w:val="none" w:sz="0" w:space="0" w:color="auto"/>
      </w:divBdr>
    </w:div>
    <w:div w:id="599486854">
      <w:bodyDiv w:val="1"/>
      <w:marLeft w:val="0"/>
      <w:marRight w:val="0"/>
      <w:marTop w:val="0"/>
      <w:marBottom w:val="0"/>
      <w:divBdr>
        <w:top w:val="none" w:sz="0" w:space="0" w:color="auto"/>
        <w:left w:val="none" w:sz="0" w:space="0" w:color="auto"/>
        <w:bottom w:val="none" w:sz="0" w:space="0" w:color="auto"/>
        <w:right w:val="none" w:sz="0" w:space="0" w:color="auto"/>
      </w:divBdr>
    </w:div>
    <w:div w:id="628167338">
      <w:bodyDiv w:val="1"/>
      <w:marLeft w:val="0"/>
      <w:marRight w:val="0"/>
      <w:marTop w:val="0"/>
      <w:marBottom w:val="0"/>
      <w:divBdr>
        <w:top w:val="none" w:sz="0" w:space="0" w:color="auto"/>
        <w:left w:val="none" w:sz="0" w:space="0" w:color="auto"/>
        <w:bottom w:val="none" w:sz="0" w:space="0" w:color="auto"/>
        <w:right w:val="none" w:sz="0" w:space="0" w:color="auto"/>
      </w:divBdr>
    </w:div>
    <w:div w:id="759327880">
      <w:bodyDiv w:val="1"/>
      <w:marLeft w:val="0"/>
      <w:marRight w:val="0"/>
      <w:marTop w:val="0"/>
      <w:marBottom w:val="0"/>
      <w:divBdr>
        <w:top w:val="none" w:sz="0" w:space="0" w:color="auto"/>
        <w:left w:val="none" w:sz="0" w:space="0" w:color="auto"/>
        <w:bottom w:val="none" w:sz="0" w:space="0" w:color="auto"/>
        <w:right w:val="none" w:sz="0" w:space="0" w:color="auto"/>
      </w:divBdr>
    </w:div>
    <w:div w:id="786580353">
      <w:bodyDiv w:val="1"/>
      <w:marLeft w:val="0"/>
      <w:marRight w:val="0"/>
      <w:marTop w:val="0"/>
      <w:marBottom w:val="0"/>
      <w:divBdr>
        <w:top w:val="none" w:sz="0" w:space="0" w:color="auto"/>
        <w:left w:val="none" w:sz="0" w:space="0" w:color="auto"/>
        <w:bottom w:val="none" w:sz="0" w:space="0" w:color="auto"/>
        <w:right w:val="none" w:sz="0" w:space="0" w:color="auto"/>
      </w:divBdr>
    </w:div>
    <w:div w:id="1020593106">
      <w:bodyDiv w:val="1"/>
      <w:marLeft w:val="0"/>
      <w:marRight w:val="0"/>
      <w:marTop w:val="0"/>
      <w:marBottom w:val="0"/>
      <w:divBdr>
        <w:top w:val="none" w:sz="0" w:space="0" w:color="auto"/>
        <w:left w:val="none" w:sz="0" w:space="0" w:color="auto"/>
        <w:bottom w:val="none" w:sz="0" w:space="0" w:color="auto"/>
        <w:right w:val="none" w:sz="0" w:space="0" w:color="auto"/>
      </w:divBdr>
      <w:divsChild>
        <w:div w:id="561065575">
          <w:marLeft w:val="0"/>
          <w:marRight w:val="0"/>
          <w:marTop w:val="0"/>
          <w:marBottom w:val="0"/>
          <w:divBdr>
            <w:top w:val="none" w:sz="0" w:space="0" w:color="auto"/>
            <w:left w:val="none" w:sz="0" w:space="0" w:color="auto"/>
            <w:bottom w:val="none" w:sz="0" w:space="0" w:color="auto"/>
            <w:right w:val="none" w:sz="0" w:space="0" w:color="auto"/>
          </w:divBdr>
        </w:div>
      </w:divsChild>
    </w:div>
    <w:div w:id="1112167407">
      <w:bodyDiv w:val="1"/>
      <w:marLeft w:val="0"/>
      <w:marRight w:val="0"/>
      <w:marTop w:val="0"/>
      <w:marBottom w:val="0"/>
      <w:divBdr>
        <w:top w:val="none" w:sz="0" w:space="0" w:color="auto"/>
        <w:left w:val="none" w:sz="0" w:space="0" w:color="auto"/>
        <w:bottom w:val="none" w:sz="0" w:space="0" w:color="auto"/>
        <w:right w:val="none" w:sz="0" w:space="0" w:color="auto"/>
      </w:divBdr>
      <w:divsChild>
        <w:div w:id="810093173">
          <w:marLeft w:val="0"/>
          <w:marRight w:val="0"/>
          <w:marTop w:val="0"/>
          <w:marBottom w:val="0"/>
          <w:divBdr>
            <w:top w:val="none" w:sz="0" w:space="0" w:color="auto"/>
            <w:left w:val="none" w:sz="0" w:space="0" w:color="auto"/>
            <w:bottom w:val="none" w:sz="0" w:space="0" w:color="auto"/>
            <w:right w:val="none" w:sz="0" w:space="0" w:color="auto"/>
          </w:divBdr>
        </w:div>
        <w:div w:id="983512085">
          <w:marLeft w:val="0"/>
          <w:marRight w:val="0"/>
          <w:marTop w:val="0"/>
          <w:marBottom w:val="0"/>
          <w:divBdr>
            <w:top w:val="none" w:sz="0" w:space="0" w:color="auto"/>
            <w:left w:val="none" w:sz="0" w:space="0" w:color="auto"/>
            <w:bottom w:val="none" w:sz="0" w:space="0" w:color="auto"/>
            <w:right w:val="none" w:sz="0" w:space="0" w:color="auto"/>
          </w:divBdr>
        </w:div>
        <w:div w:id="610282578">
          <w:marLeft w:val="0"/>
          <w:marRight w:val="0"/>
          <w:marTop w:val="0"/>
          <w:marBottom w:val="0"/>
          <w:divBdr>
            <w:top w:val="none" w:sz="0" w:space="0" w:color="auto"/>
            <w:left w:val="none" w:sz="0" w:space="0" w:color="auto"/>
            <w:bottom w:val="none" w:sz="0" w:space="0" w:color="auto"/>
            <w:right w:val="none" w:sz="0" w:space="0" w:color="auto"/>
          </w:divBdr>
        </w:div>
        <w:div w:id="1256524209">
          <w:marLeft w:val="0"/>
          <w:marRight w:val="0"/>
          <w:marTop w:val="0"/>
          <w:marBottom w:val="0"/>
          <w:divBdr>
            <w:top w:val="none" w:sz="0" w:space="0" w:color="auto"/>
            <w:left w:val="none" w:sz="0" w:space="0" w:color="auto"/>
            <w:bottom w:val="none" w:sz="0" w:space="0" w:color="auto"/>
            <w:right w:val="none" w:sz="0" w:space="0" w:color="auto"/>
          </w:divBdr>
        </w:div>
        <w:div w:id="1527213618">
          <w:marLeft w:val="0"/>
          <w:marRight w:val="0"/>
          <w:marTop w:val="0"/>
          <w:marBottom w:val="0"/>
          <w:divBdr>
            <w:top w:val="none" w:sz="0" w:space="0" w:color="auto"/>
            <w:left w:val="none" w:sz="0" w:space="0" w:color="auto"/>
            <w:bottom w:val="none" w:sz="0" w:space="0" w:color="auto"/>
            <w:right w:val="none" w:sz="0" w:space="0" w:color="auto"/>
          </w:divBdr>
        </w:div>
        <w:div w:id="671448303">
          <w:marLeft w:val="0"/>
          <w:marRight w:val="0"/>
          <w:marTop w:val="0"/>
          <w:marBottom w:val="0"/>
          <w:divBdr>
            <w:top w:val="none" w:sz="0" w:space="0" w:color="auto"/>
            <w:left w:val="none" w:sz="0" w:space="0" w:color="auto"/>
            <w:bottom w:val="none" w:sz="0" w:space="0" w:color="auto"/>
            <w:right w:val="none" w:sz="0" w:space="0" w:color="auto"/>
          </w:divBdr>
        </w:div>
        <w:div w:id="2007785927">
          <w:marLeft w:val="0"/>
          <w:marRight w:val="0"/>
          <w:marTop w:val="0"/>
          <w:marBottom w:val="0"/>
          <w:divBdr>
            <w:top w:val="none" w:sz="0" w:space="0" w:color="auto"/>
            <w:left w:val="none" w:sz="0" w:space="0" w:color="auto"/>
            <w:bottom w:val="none" w:sz="0" w:space="0" w:color="auto"/>
            <w:right w:val="none" w:sz="0" w:space="0" w:color="auto"/>
          </w:divBdr>
        </w:div>
      </w:divsChild>
    </w:div>
    <w:div w:id="1269005659">
      <w:bodyDiv w:val="1"/>
      <w:marLeft w:val="0"/>
      <w:marRight w:val="0"/>
      <w:marTop w:val="0"/>
      <w:marBottom w:val="0"/>
      <w:divBdr>
        <w:top w:val="none" w:sz="0" w:space="0" w:color="auto"/>
        <w:left w:val="none" w:sz="0" w:space="0" w:color="auto"/>
        <w:bottom w:val="none" w:sz="0" w:space="0" w:color="auto"/>
        <w:right w:val="none" w:sz="0" w:space="0" w:color="auto"/>
      </w:divBdr>
    </w:div>
    <w:div w:id="1551069691">
      <w:bodyDiv w:val="1"/>
      <w:marLeft w:val="0"/>
      <w:marRight w:val="0"/>
      <w:marTop w:val="0"/>
      <w:marBottom w:val="0"/>
      <w:divBdr>
        <w:top w:val="none" w:sz="0" w:space="0" w:color="auto"/>
        <w:left w:val="none" w:sz="0" w:space="0" w:color="auto"/>
        <w:bottom w:val="none" w:sz="0" w:space="0" w:color="auto"/>
        <w:right w:val="none" w:sz="0" w:space="0" w:color="auto"/>
      </w:divBdr>
    </w:div>
    <w:div w:id="1603030503">
      <w:bodyDiv w:val="1"/>
      <w:marLeft w:val="0"/>
      <w:marRight w:val="0"/>
      <w:marTop w:val="0"/>
      <w:marBottom w:val="0"/>
      <w:divBdr>
        <w:top w:val="none" w:sz="0" w:space="0" w:color="auto"/>
        <w:left w:val="none" w:sz="0" w:space="0" w:color="auto"/>
        <w:bottom w:val="none" w:sz="0" w:space="0" w:color="auto"/>
        <w:right w:val="none" w:sz="0" w:space="0" w:color="auto"/>
      </w:divBdr>
    </w:div>
    <w:div w:id="1677348098">
      <w:bodyDiv w:val="1"/>
      <w:marLeft w:val="0"/>
      <w:marRight w:val="0"/>
      <w:marTop w:val="0"/>
      <w:marBottom w:val="0"/>
      <w:divBdr>
        <w:top w:val="none" w:sz="0" w:space="0" w:color="auto"/>
        <w:left w:val="none" w:sz="0" w:space="0" w:color="auto"/>
        <w:bottom w:val="none" w:sz="0" w:space="0" w:color="auto"/>
        <w:right w:val="none" w:sz="0" w:space="0" w:color="auto"/>
      </w:divBdr>
    </w:div>
    <w:div w:id="1824201750">
      <w:bodyDiv w:val="1"/>
      <w:marLeft w:val="0"/>
      <w:marRight w:val="0"/>
      <w:marTop w:val="0"/>
      <w:marBottom w:val="0"/>
      <w:divBdr>
        <w:top w:val="none" w:sz="0" w:space="0" w:color="auto"/>
        <w:left w:val="none" w:sz="0" w:space="0" w:color="auto"/>
        <w:bottom w:val="none" w:sz="0" w:space="0" w:color="auto"/>
        <w:right w:val="none" w:sz="0" w:space="0" w:color="auto"/>
      </w:divBdr>
    </w:div>
    <w:div w:id="1896815071">
      <w:bodyDiv w:val="1"/>
      <w:marLeft w:val="0"/>
      <w:marRight w:val="0"/>
      <w:marTop w:val="0"/>
      <w:marBottom w:val="0"/>
      <w:divBdr>
        <w:top w:val="none" w:sz="0" w:space="0" w:color="auto"/>
        <w:left w:val="none" w:sz="0" w:space="0" w:color="auto"/>
        <w:bottom w:val="none" w:sz="0" w:space="0" w:color="auto"/>
        <w:right w:val="none" w:sz="0" w:space="0" w:color="auto"/>
      </w:divBdr>
      <w:divsChild>
        <w:div w:id="1583022300">
          <w:marLeft w:val="0"/>
          <w:marRight w:val="0"/>
          <w:marTop w:val="0"/>
          <w:marBottom w:val="0"/>
          <w:divBdr>
            <w:top w:val="none" w:sz="0" w:space="0" w:color="auto"/>
            <w:left w:val="none" w:sz="0" w:space="0" w:color="auto"/>
            <w:bottom w:val="none" w:sz="0" w:space="0" w:color="auto"/>
            <w:right w:val="none" w:sz="0" w:space="0" w:color="auto"/>
          </w:divBdr>
        </w:div>
      </w:divsChild>
    </w:div>
    <w:div w:id="1949121034">
      <w:bodyDiv w:val="1"/>
      <w:marLeft w:val="0"/>
      <w:marRight w:val="0"/>
      <w:marTop w:val="0"/>
      <w:marBottom w:val="0"/>
      <w:divBdr>
        <w:top w:val="none" w:sz="0" w:space="0" w:color="auto"/>
        <w:left w:val="none" w:sz="0" w:space="0" w:color="auto"/>
        <w:bottom w:val="none" w:sz="0" w:space="0" w:color="auto"/>
        <w:right w:val="none" w:sz="0" w:space="0" w:color="auto"/>
      </w:divBdr>
    </w:div>
    <w:div w:id="1953436039">
      <w:bodyDiv w:val="1"/>
      <w:marLeft w:val="0"/>
      <w:marRight w:val="0"/>
      <w:marTop w:val="0"/>
      <w:marBottom w:val="0"/>
      <w:divBdr>
        <w:top w:val="none" w:sz="0" w:space="0" w:color="auto"/>
        <w:left w:val="none" w:sz="0" w:space="0" w:color="auto"/>
        <w:bottom w:val="none" w:sz="0" w:space="0" w:color="auto"/>
        <w:right w:val="none" w:sz="0" w:space="0" w:color="auto"/>
      </w:divBdr>
    </w:div>
    <w:div w:id="2124498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image" Target="/media/image3.jpg" Id="Rb85798cecad84e03" /><Relationship Type="http://schemas.openxmlformats.org/officeDocument/2006/relationships/image" Target="/media/image4.jpg" Id="Rfd29151fae0a4137" /><Relationship Type="http://schemas.openxmlformats.org/officeDocument/2006/relationships/hyperlink" Target="mailto:sales@ptr.inc" TargetMode="External" Id="R34ac71cfcf4542a8" /><Relationship Type="http://schemas.microsoft.com/office/2020/10/relationships/intelligence" Target="intelligence2.xml" Id="R14575089a1194821"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mil\Downloads\Article-%202023.dotx" TargetMode="External"/></Relationships>
</file>

<file path=word/theme/theme1.xml><?xml version="1.0" encoding="utf-8"?>
<a:theme xmlns:a="http://schemas.openxmlformats.org/drawingml/2006/main" name="Office Theme">
  <a:themeElements>
    <a:clrScheme name="PTR_New_1">
      <a:dk1>
        <a:sysClr val="windowText" lastClr="000000"/>
      </a:dk1>
      <a:lt1>
        <a:sysClr val="window" lastClr="FFFFFF"/>
      </a:lt1>
      <a:dk2>
        <a:srgbClr val="323232"/>
      </a:dk2>
      <a:lt2>
        <a:srgbClr val="E3DED1"/>
      </a:lt2>
      <a:accent1>
        <a:srgbClr val="1B587C"/>
      </a:accent1>
      <a:accent2>
        <a:srgbClr val="457B9D"/>
      </a:accent2>
      <a:accent3>
        <a:srgbClr val="6ABA71"/>
      </a:accent3>
      <a:accent4>
        <a:srgbClr val="95DBB8"/>
      </a:accent4>
      <a:accent5>
        <a:srgbClr val="808080"/>
      </a:accent5>
      <a:accent6>
        <a:srgbClr val="484746"/>
      </a:accent6>
      <a:hlink>
        <a:srgbClr val="6B9F25"/>
      </a:hlink>
      <a:folHlink>
        <a:srgbClr val="B26B02"/>
      </a:folHlink>
    </a:clrScheme>
    <a:fontScheme name="PTR_Font">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036F8380761D64BB7A571DAFCE4FFC3" ma:contentTypeVersion="13" ma:contentTypeDescription="Create a new document." ma:contentTypeScope="" ma:versionID="e7f285b24197de7cfdaa0085949d507c">
  <xsd:schema xmlns:xsd="http://www.w3.org/2001/XMLSchema" xmlns:xs="http://www.w3.org/2001/XMLSchema" xmlns:p="http://schemas.microsoft.com/office/2006/metadata/properties" xmlns:ns2="5a153ce8-4e8e-4429-a34e-aa962133f1b8" xmlns:ns3="7043a5bb-7874-4a99-8205-8f16c0550438" targetNamespace="http://schemas.microsoft.com/office/2006/metadata/properties" ma:root="true" ma:fieldsID="8d52dbc081be6b7414bb15dc6ce7abed" ns2:_="" ns3:_="">
    <xsd:import namespace="5a153ce8-4e8e-4429-a34e-aa962133f1b8"/>
    <xsd:import namespace="7043a5bb-7874-4a99-8205-8f16c0550438"/>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153ce8-4e8e-4429-a34e-aa962133f1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43a5bb-7874-4a99-8205-8f16c05504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B0904CA7-28AC-480E-9340-F53386430496}">
  <ds:schemaRefs>
    <ds:schemaRef ds:uri="http://schemas.microsoft.com/office/2006/metadata/properties"/>
    <ds:schemaRef ds:uri="http://schemas.microsoft.com/office/infopath/2007/PartnerControls"/>
    <ds:schemaRef ds:uri="d47a9b50-1d56-46f6-9334-ad284fa3e129"/>
    <ds:schemaRef ds:uri="506f1aaf-bcd6-4d79-b3ae-abe7644f24fd"/>
  </ds:schemaRefs>
</ds:datastoreItem>
</file>

<file path=customXml/itemProps2.xml><?xml version="1.0" encoding="utf-8"?>
<ds:datastoreItem xmlns:ds="http://schemas.openxmlformats.org/officeDocument/2006/customXml" ds:itemID="{7416E752-6F96-4A9F-A514-77DA5C064AF9}"/>
</file>

<file path=customXml/itemProps3.xml><?xml version="1.0" encoding="utf-8"?>
<ds:datastoreItem xmlns:ds="http://schemas.openxmlformats.org/officeDocument/2006/customXml" ds:itemID="{0B6D9319-42D7-45FE-B4E2-35D33EFDC5E3}">
  <ds:schemaRefs>
    <ds:schemaRef ds:uri="http://schemas.microsoft.com/sharepoint/v3/contenttype/forms"/>
  </ds:schemaRefs>
</ds:datastoreItem>
</file>

<file path=customXml/itemProps4.xml><?xml version="1.0" encoding="utf-8"?>
<ds:datastoreItem xmlns:ds="http://schemas.openxmlformats.org/officeDocument/2006/customXml" ds:itemID="{B2C9C424-1844-4281-A822-93A653BC043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C:\Users\Kamil\Downloads\Article- 2023.dotx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Kamil</dc:creator>
  <keywords/>
  <dc:description/>
  <lastModifiedBy>Rabbiya Shamsi</lastModifiedBy>
  <revision>4</revision>
  <lastPrinted>2020-05-29T12:01:00.0000000Z</lastPrinted>
  <dcterms:created xsi:type="dcterms:W3CDTF">2025-04-07T10:43:00.0000000Z</dcterms:created>
  <dcterms:modified xsi:type="dcterms:W3CDTF">2025-04-07T11:54:26.4310569Z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0x0101008036F8380761D64BB7A571DAFCE4FFC3</vt:lpwstr>
  </property>
  <property fmtid="{D5CDD505-2E9C-101B-9397-08002B2CF9AE}" pid="3" name="MediaServiceImageTags">
    <vt:lpwstr/>
  </property>
  <property fmtid="{D5CDD505-2E9C-101B-9397-08002B2CF9AE}" pid="4" name="GrammarlyDocumentId">
    <vt:lpwstr>e709b076177e5052a209a01ae7fcc8673a5a3b59fa525126cd108d973c264bf3</vt:lpwstr>
  </property>
</Properties>
</file>